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4340" w14:textId="47E4E32E" w:rsidR="001E05A1" w:rsidRDefault="004212D4" w:rsidP="004212D4">
      <w:pPr>
        <w:jc w:val="both"/>
      </w:pPr>
      <w:r>
        <w:t>Diese Checkliste fasst wichtige Voraussetzungen für den Betrieb</w:t>
      </w:r>
      <w:r w:rsidR="00CE2C94">
        <w:t xml:space="preserve"> von</w:t>
      </w:r>
      <w:r>
        <w:t xml:space="preserve"> Labore</w:t>
      </w:r>
      <w:r w:rsidR="00CE2C94">
        <w:t>n</w:t>
      </w:r>
      <w:r>
        <w:t xml:space="preserve"> </w:t>
      </w:r>
      <w:r w:rsidR="00944402">
        <w:t>der Schutzstufe 2 gemäß Biostoffverordnung</w:t>
      </w:r>
      <w:r>
        <w:t xml:space="preserve"> zusammen. </w:t>
      </w:r>
      <w:r w:rsidR="00CE2C94">
        <w:t>Aufgaben</w:t>
      </w:r>
      <w:r w:rsidR="003E6960">
        <w:t xml:space="preserve"> </w:t>
      </w:r>
      <w:r w:rsidR="00944402">
        <w:t>der verantwortlichen Personen</w:t>
      </w:r>
      <w:r w:rsidR="003E6960">
        <w:t xml:space="preserve"> sowie Vorgaben zur Anzeige</w:t>
      </w:r>
      <w:r w:rsidR="00944402">
        <w:t>- und Erlaubnis</w:t>
      </w:r>
      <w:r w:rsidR="003E6960">
        <w:t xml:space="preserve">pflichten werden nicht behandelt. </w:t>
      </w:r>
      <w:r w:rsidR="00944402">
        <w:t xml:space="preserve">Weiterführende Erläuterungen </w:t>
      </w:r>
      <w:r w:rsidR="00CE2C94">
        <w:t>hierzu</w:t>
      </w:r>
      <w:r w:rsidR="00944402">
        <w:t xml:space="preserve"> sie</w:t>
      </w:r>
      <w:r w:rsidR="00CE2C94">
        <w:t>he</w:t>
      </w:r>
      <w:r w:rsidR="00944402">
        <w:t xml:space="preserve"> Merkblatt „Biostoff-Verordnung (BioStoffV): Hilfestellungen für Anzeigen u. Pflichten“.</w:t>
      </w:r>
      <w:r>
        <w:t xml:space="preserve">Selbstverständlich gibt es über diese Aufzählung hinausgehende Anforderungen an </w:t>
      </w:r>
      <w:r w:rsidR="005857EA">
        <w:t xml:space="preserve">den Betrieb von </w:t>
      </w:r>
      <w:r>
        <w:t>Labore</w:t>
      </w:r>
      <w:r w:rsidR="005857EA">
        <w:t>n</w:t>
      </w:r>
      <w:r>
        <w:t xml:space="preserve"> z.B. aus </w:t>
      </w:r>
      <w:r w:rsidR="005857EA">
        <w:t>der</w:t>
      </w:r>
      <w:r w:rsidR="00CE2C94">
        <w:t xml:space="preserve"> Laborrichtlinie, der</w:t>
      </w:r>
      <w:r w:rsidR="005857EA">
        <w:t xml:space="preserve"> Arbeitssicherheit, dem Strahlenschutz, dem Brandschutz</w:t>
      </w:r>
      <w:r w:rsidR="00F65C6C">
        <w:t>, dem Infektionsschutz</w:t>
      </w:r>
      <w:r w:rsidR="005857EA">
        <w:t xml:space="preserve"> </w:t>
      </w:r>
      <w:r w:rsidR="003E6960">
        <w:t>oder dem Gefahrstoffrecht</w:t>
      </w:r>
      <w:r>
        <w:t>. Diese Liste ist daher nicht als abschließend zu betrachten.</w:t>
      </w:r>
    </w:p>
    <w:tbl>
      <w:tblPr>
        <w:tblStyle w:val="Tabellenraster"/>
        <w:tblW w:w="13999" w:type="dxa"/>
        <w:tblLayout w:type="fixed"/>
        <w:tblLook w:val="04A0" w:firstRow="1" w:lastRow="0" w:firstColumn="1" w:lastColumn="0" w:noHBand="0" w:noVBand="1"/>
      </w:tblPr>
      <w:tblGrid>
        <w:gridCol w:w="1980"/>
        <w:gridCol w:w="5641"/>
        <w:gridCol w:w="1418"/>
        <w:gridCol w:w="567"/>
        <w:gridCol w:w="567"/>
        <w:gridCol w:w="567"/>
        <w:gridCol w:w="3259"/>
      </w:tblGrid>
      <w:tr w:rsidR="00211683" w:rsidRPr="00CB1CD7" w14:paraId="15159356" w14:textId="77777777" w:rsidTr="00CD0100">
        <w:trPr>
          <w:tblHeader/>
        </w:trPr>
        <w:tc>
          <w:tcPr>
            <w:tcW w:w="1980" w:type="dxa"/>
            <w:shd w:val="clear" w:color="auto" w:fill="BFBFBF" w:themeFill="background1" w:themeFillShade="BF"/>
            <w:vAlign w:val="center"/>
          </w:tcPr>
          <w:p w14:paraId="39F2C9AA" w14:textId="77777777" w:rsidR="00211683" w:rsidRPr="00CB1CD7" w:rsidRDefault="00211683" w:rsidP="00E26750">
            <w:pPr>
              <w:jc w:val="center"/>
              <w:rPr>
                <w:b/>
              </w:rPr>
            </w:pPr>
            <w:r>
              <w:rPr>
                <w:b/>
              </w:rPr>
              <w:t>Thema</w:t>
            </w:r>
          </w:p>
        </w:tc>
        <w:tc>
          <w:tcPr>
            <w:tcW w:w="5641" w:type="dxa"/>
            <w:shd w:val="clear" w:color="auto" w:fill="BFBFBF" w:themeFill="background1" w:themeFillShade="BF"/>
            <w:vAlign w:val="center"/>
          </w:tcPr>
          <w:p w14:paraId="322F4950" w14:textId="77777777" w:rsidR="00211683" w:rsidRPr="00CB1CD7" w:rsidRDefault="00211683" w:rsidP="00E26750">
            <w:pPr>
              <w:jc w:val="center"/>
              <w:rPr>
                <w:b/>
              </w:rPr>
            </w:pPr>
            <w:r w:rsidRPr="00CB1CD7">
              <w:rPr>
                <w:b/>
              </w:rPr>
              <w:t>Anforderung</w:t>
            </w:r>
          </w:p>
        </w:tc>
        <w:tc>
          <w:tcPr>
            <w:tcW w:w="1418" w:type="dxa"/>
            <w:shd w:val="clear" w:color="auto" w:fill="BFBFBF" w:themeFill="background1" w:themeFillShade="BF"/>
            <w:vAlign w:val="center"/>
          </w:tcPr>
          <w:p w14:paraId="5B1C51A3" w14:textId="77777777" w:rsidR="00211683" w:rsidRPr="00CB1CD7" w:rsidRDefault="00211683" w:rsidP="00E26750">
            <w:pPr>
              <w:jc w:val="center"/>
              <w:rPr>
                <w:b/>
              </w:rPr>
            </w:pPr>
            <w:r w:rsidRPr="00CB1CD7">
              <w:rPr>
                <w:b/>
              </w:rPr>
              <w:t>Rechtsquelle</w:t>
            </w:r>
          </w:p>
        </w:tc>
        <w:tc>
          <w:tcPr>
            <w:tcW w:w="1701" w:type="dxa"/>
            <w:gridSpan w:val="3"/>
            <w:shd w:val="clear" w:color="auto" w:fill="BFBFBF" w:themeFill="background1" w:themeFillShade="BF"/>
          </w:tcPr>
          <w:p w14:paraId="6874B04E" w14:textId="77777777" w:rsidR="00211683" w:rsidRPr="00CB1CD7" w:rsidRDefault="00211683" w:rsidP="00E26750">
            <w:pPr>
              <w:jc w:val="center"/>
              <w:rPr>
                <w:b/>
              </w:rPr>
            </w:pPr>
            <w:r>
              <w:rPr>
                <w:b/>
              </w:rPr>
              <w:t>Er</w:t>
            </w:r>
            <w:r w:rsidRPr="00CB1CD7">
              <w:rPr>
                <w:b/>
              </w:rPr>
              <w:t>füllt?</w:t>
            </w:r>
          </w:p>
        </w:tc>
        <w:tc>
          <w:tcPr>
            <w:tcW w:w="3259" w:type="dxa"/>
            <w:shd w:val="clear" w:color="auto" w:fill="BFBFBF" w:themeFill="background1" w:themeFillShade="BF"/>
            <w:vAlign w:val="center"/>
          </w:tcPr>
          <w:p w14:paraId="5F9C9539" w14:textId="77777777" w:rsidR="00211683" w:rsidRPr="00861D90" w:rsidRDefault="00211683" w:rsidP="00E26750">
            <w:pPr>
              <w:jc w:val="center"/>
              <w:rPr>
                <w:b/>
              </w:rPr>
            </w:pPr>
            <w:r>
              <w:rPr>
                <w:b/>
              </w:rPr>
              <w:t>Bemerkungen,</w:t>
            </w:r>
            <w:r w:rsidRPr="00861D90">
              <w:rPr>
                <w:b/>
              </w:rPr>
              <w:t xml:space="preserve"> Maßnahmen</w:t>
            </w:r>
          </w:p>
        </w:tc>
      </w:tr>
      <w:tr w:rsidR="00211683" w:rsidRPr="00CB1CD7" w14:paraId="708C3572" w14:textId="77777777" w:rsidTr="00CD0100">
        <w:trPr>
          <w:cantSplit/>
          <w:trHeight w:val="1134"/>
          <w:tblHeader/>
        </w:trPr>
        <w:tc>
          <w:tcPr>
            <w:tcW w:w="1980" w:type="dxa"/>
            <w:shd w:val="clear" w:color="auto" w:fill="BFBFBF" w:themeFill="background1" w:themeFillShade="BF"/>
            <w:vAlign w:val="center"/>
          </w:tcPr>
          <w:p w14:paraId="77C205BB" w14:textId="77777777" w:rsidR="00211683" w:rsidRDefault="00211683" w:rsidP="00E26750">
            <w:pPr>
              <w:jc w:val="center"/>
              <w:rPr>
                <w:b/>
              </w:rPr>
            </w:pPr>
          </w:p>
        </w:tc>
        <w:tc>
          <w:tcPr>
            <w:tcW w:w="5641" w:type="dxa"/>
            <w:shd w:val="clear" w:color="auto" w:fill="BFBFBF" w:themeFill="background1" w:themeFillShade="BF"/>
            <w:vAlign w:val="center"/>
          </w:tcPr>
          <w:p w14:paraId="6962DFAD" w14:textId="77777777" w:rsidR="00211683" w:rsidRPr="00CB1CD7" w:rsidRDefault="00211683" w:rsidP="00E26750">
            <w:pPr>
              <w:jc w:val="center"/>
              <w:rPr>
                <w:b/>
              </w:rPr>
            </w:pPr>
          </w:p>
        </w:tc>
        <w:tc>
          <w:tcPr>
            <w:tcW w:w="1418" w:type="dxa"/>
            <w:shd w:val="clear" w:color="auto" w:fill="BFBFBF" w:themeFill="background1" w:themeFillShade="BF"/>
            <w:vAlign w:val="center"/>
          </w:tcPr>
          <w:p w14:paraId="112BDCB9" w14:textId="77777777" w:rsidR="00211683" w:rsidRPr="00CB1CD7" w:rsidRDefault="00211683" w:rsidP="00E26750">
            <w:pPr>
              <w:jc w:val="center"/>
              <w:rPr>
                <w:b/>
              </w:rPr>
            </w:pPr>
          </w:p>
        </w:tc>
        <w:tc>
          <w:tcPr>
            <w:tcW w:w="567" w:type="dxa"/>
            <w:shd w:val="clear" w:color="auto" w:fill="BFBFBF" w:themeFill="background1" w:themeFillShade="BF"/>
            <w:textDirection w:val="tbRl"/>
            <w:vAlign w:val="center"/>
          </w:tcPr>
          <w:p w14:paraId="5ABF55C2" w14:textId="77777777" w:rsidR="00211683" w:rsidRPr="00211683" w:rsidRDefault="00211683" w:rsidP="00211683">
            <w:pPr>
              <w:ind w:left="113" w:right="113"/>
              <w:jc w:val="center"/>
              <w:rPr>
                <w:b/>
                <w:sz w:val="20"/>
                <w:szCs w:val="20"/>
              </w:rPr>
            </w:pPr>
            <w:r w:rsidRPr="00211683">
              <w:rPr>
                <w:b/>
                <w:sz w:val="20"/>
                <w:szCs w:val="20"/>
              </w:rPr>
              <w:t>Ja</w:t>
            </w:r>
          </w:p>
        </w:tc>
        <w:tc>
          <w:tcPr>
            <w:tcW w:w="567" w:type="dxa"/>
            <w:shd w:val="clear" w:color="auto" w:fill="BFBFBF" w:themeFill="background1" w:themeFillShade="BF"/>
            <w:textDirection w:val="tbRl"/>
            <w:vAlign w:val="center"/>
          </w:tcPr>
          <w:p w14:paraId="7949E849" w14:textId="77777777" w:rsidR="00211683" w:rsidRPr="00211683" w:rsidRDefault="00211683" w:rsidP="00211683">
            <w:pPr>
              <w:ind w:left="113" w:right="113"/>
              <w:jc w:val="center"/>
              <w:rPr>
                <w:b/>
                <w:sz w:val="20"/>
                <w:szCs w:val="20"/>
              </w:rPr>
            </w:pPr>
            <w:r w:rsidRPr="00211683">
              <w:rPr>
                <w:b/>
                <w:sz w:val="20"/>
                <w:szCs w:val="20"/>
              </w:rPr>
              <w:t>Nein</w:t>
            </w:r>
          </w:p>
        </w:tc>
        <w:tc>
          <w:tcPr>
            <w:tcW w:w="567" w:type="dxa"/>
            <w:shd w:val="clear" w:color="auto" w:fill="BFBFBF" w:themeFill="background1" w:themeFillShade="BF"/>
            <w:textDirection w:val="tbRl"/>
            <w:vAlign w:val="center"/>
          </w:tcPr>
          <w:p w14:paraId="23613F8B" w14:textId="77777777" w:rsidR="00211683" w:rsidRDefault="00211683" w:rsidP="00211683">
            <w:pPr>
              <w:ind w:left="113" w:right="113"/>
              <w:jc w:val="center"/>
              <w:rPr>
                <w:b/>
                <w:sz w:val="20"/>
                <w:szCs w:val="20"/>
              </w:rPr>
            </w:pPr>
            <w:r w:rsidRPr="00211683">
              <w:rPr>
                <w:b/>
                <w:sz w:val="20"/>
                <w:szCs w:val="20"/>
              </w:rPr>
              <w:t xml:space="preserve">Nicht </w:t>
            </w:r>
          </w:p>
          <w:p w14:paraId="64CF7742" w14:textId="77777777" w:rsidR="00211683" w:rsidRPr="00211683" w:rsidRDefault="00211683" w:rsidP="00211683">
            <w:pPr>
              <w:ind w:left="113" w:right="113"/>
              <w:jc w:val="center"/>
              <w:rPr>
                <w:b/>
                <w:sz w:val="20"/>
                <w:szCs w:val="20"/>
              </w:rPr>
            </w:pPr>
            <w:r w:rsidRPr="00211683">
              <w:rPr>
                <w:b/>
                <w:sz w:val="20"/>
                <w:szCs w:val="20"/>
              </w:rPr>
              <w:t>zutreffend</w:t>
            </w:r>
          </w:p>
        </w:tc>
        <w:tc>
          <w:tcPr>
            <w:tcW w:w="3259" w:type="dxa"/>
            <w:shd w:val="clear" w:color="auto" w:fill="BFBFBF" w:themeFill="background1" w:themeFillShade="BF"/>
            <w:vAlign w:val="center"/>
          </w:tcPr>
          <w:p w14:paraId="061F0EEC" w14:textId="77777777" w:rsidR="00211683" w:rsidRPr="00861D90" w:rsidRDefault="00211683" w:rsidP="00E26750">
            <w:pPr>
              <w:jc w:val="center"/>
              <w:rPr>
                <w:b/>
              </w:rPr>
            </w:pPr>
          </w:p>
        </w:tc>
      </w:tr>
      <w:tr w:rsidR="00211683" w:rsidRPr="00CB1CD7" w14:paraId="53B1B62E" w14:textId="77777777" w:rsidTr="00211683">
        <w:tc>
          <w:tcPr>
            <w:tcW w:w="10740" w:type="dxa"/>
            <w:gridSpan w:val="6"/>
            <w:shd w:val="clear" w:color="auto" w:fill="D9D9D9" w:themeFill="background1" w:themeFillShade="D9"/>
          </w:tcPr>
          <w:p w14:paraId="4DEB3BB7" w14:textId="77777777" w:rsidR="00211683" w:rsidRPr="00211683" w:rsidRDefault="00E410B1" w:rsidP="00211683">
            <w:pPr>
              <w:jc w:val="both"/>
              <w:rPr>
                <w:b/>
              </w:rPr>
            </w:pPr>
            <w:r>
              <w:rPr>
                <w:b/>
              </w:rPr>
              <w:t>Allgemein</w:t>
            </w:r>
          </w:p>
        </w:tc>
        <w:tc>
          <w:tcPr>
            <w:tcW w:w="3259" w:type="dxa"/>
            <w:shd w:val="clear" w:color="auto" w:fill="D9D9D9" w:themeFill="background1" w:themeFillShade="D9"/>
          </w:tcPr>
          <w:p w14:paraId="545ECB7F" w14:textId="77777777" w:rsidR="00211683" w:rsidRPr="00861D90" w:rsidRDefault="00211683" w:rsidP="00E26750">
            <w:pPr>
              <w:jc w:val="both"/>
            </w:pPr>
          </w:p>
        </w:tc>
      </w:tr>
      <w:tr w:rsidR="00A07BE5" w:rsidRPr="00CB1CD7" w14:paraId="5FCDAA45" w14:textId="77777777" w:rsidTr="00954F96">
        <w:tc>
          <w:tcPr>
            <w:tcW w:w="10740" w:type="dxa"/>
            <w:gridSpan w:val="6"/>
            <w:shd w:val="clear" w:color="auto" w:fill="auto"/>
            <w:vAlign w:val="center"/>
          </w:tcPr>
          <w:p w14:paraId="7C2D73AF" w14:textId="77777777" w:rsidR="00A07BE5" w:rsidRDefault="00A07BE5" w:rsidP="001A5CEC">
            <w:pPr>
              <w:pStyle w:val="Listenabsatz"/>
              <w:ind w:left="360"/>
            </w:pPr>
            <w:r>
              <w:t>Bitte denken Sie daran, dass eventuell weitere Gesetze/ Verordnungen betroffen sind und es Anzeige und/oder Erlaubnispflichten gibt. Beispiele:</w:t>
            </w:r>
          </w:p>
          <w:p w14:paraId="76BBED71" w14:textId="77777777" w:rsidR="00A07BE5" w:rsidRDefault="00A07BE5" w:rsidP="001A5CEC">
            <w:pPr>
              <w:pStyle w:val="Listenabsatz"/>
              <w:numPr>
                <w:ilvl w:val="0"/>
                <w:numId w:val="42"/>
              </w:numPr>
            </w:pPr>
            <w:r>
              <w:t>Gentechnikgesetz: Anzeigepflicht bereits ab S1 bei gentechnischen Arbeiten</w:t>
            </w:r>
          </w:p>
          <w:p w14:paraId="22910568" w14:textId="77777777" w:rsidR="00A07BE5" w:rsidRDefault="00A07BE5" w:rsidP="001A5CEC">
            <w:pPr>
              <w:pStyle w:val="Listenabsatz"/>
              <w:numPr>
                <w:ilvl w:val="0"/>
                <w:numId w:val="42"/>
              </w:numPr>
            </w:pPr>
            <w:r>
              <w:t>Infektionsschutz: Erlaubnis und Anzeige bei Umgang mit humanen Krankheitserregern</w:t>
            </w:r>
          </w:p>
          <w:p w14:paraId="30893C47" w14:textId="77777777" w:rsidR="00A07BE5" w:rsidRDefault="00A07BE5" w:rsidP="001A5CEC">
            <w:pPr>
              <w:pStyle w:val="Listenabsatz"/>
              <w:numPr>
                <w:ilvl w:val="0"/>
                <w:numId w:val="42"/>
              </w:numPr>
            </w:pPr>
            <w:r>
              <w:t>Tierseuchenerregerverordnung: Erlaubnis und Anzeige bei Arbeiten mit Erregern</w:t>
            </w:r>
          </w:p>
          <w:p w14:paraId="73A86679" w14:textId="295456FE" w:rsidR="00A07BE5" w:rsidRDefault="00A07BE5" w:rsidP="00A07BE5">
            <w:pPr>
              <w:pStyle w:val="Listenabsatz"/>
              <w:numPr>
                <w:ilvl w:val="0"/>
                <w:numId w:val="42"/>
              </w:numPr>
            </w:pPr>
            <w:r>
              <w:t>Pflanzenbeschauverordnung: Einfuhrverbot von Schaderregern gemäß EU-Richtlinie, sowie Erlaubnis und Genehmigungspflichten.</w:t>
            </w:r>
          </w:p>
          <w:p w14:paraId="77A76949" w14:textId="107F0325" w:rsidR="00A07BE5" w:rsidRPr="001A5CEC" w:rsidRDefault="00A07BE5" w:rsidP="00A07BE5">
            <w:pPr>
              <w:pStyle w:val="Listenabsatz"/>
              <w:numPr>
                <w:ilvl w:val="0"/>
                <w:numId w:val="42"/>
              </w:numPr>
            </w:pPr>
            <w:r>
              <w:t>Dual Use Richtlinie: Verschluss der dort gelisteten Biostoffe</w:t>
            </w:r>
          </w:p>
        </w:tc>
        <w:tc>
          <w:tcPr>
            <w:tcW w:w="3259" w:type="dxa"/>
            <w:shd w:val="clear" w:color="auto" w:fill="auto"/>
          </w:tcPr>
          <w:p w14:paraId="6C7F041C" w14:textId="77777777" w:rsidR="00A07BE5" w:rsidRPr="00861D90" w:rsidRDefault="00A07BE5" w:rsidP="00E26750">
            <w:pPr>
              <w:jc w:val="both"/>
            </w:pPr>
          </w:p>
        </w:tc>
      </w:tr>
      <w:tr w:rsidR="00E410B1" w:rsidRPr="00CB1CD7" w14:paraId="03AEE20D" w14:textId="77777777" w:rsidTr="00211683">
        <w:tc>
          <w:tcPr>
            <w:tcW w:w="9039" w:type="dxa"/>
            <w:gridSpan w:val="3"/>
            <w:shd w:val="clear" w:color="auto" w:fill="auto"/>
            <w:vAlign w:val="center"/>
          </w:tcPr>
          <w:p w14:paraId="7009FBE5" w14:textId="3C5E0544" w:rsidR="00E410B1" w:rsidRDefault="00E410B1" w:rsidP="00E410B1">
            <w:pPr>
              <w:pStyle w:val="Listenabsatz"/>
              <w:ind w:left="360"/>
            </w:pPr>
            <w:r>
              <w:t xml:space="preserve">Es muss </w:t>
            </w:r>
            <w:r w:rsidRPr="00CD0100">
              <w:rPr>
                <w:u w:val="single"/>
              </w:rPr>
              <w:t>vo</w:t>
            </w:r>
            <w:r w:rsidR="00CD0100" w:rsidRPr="00CD0100">
              <w:rPr>
                <w:u w:val="single"/>
              </w:rPr>
              <w:t>r</w:t>
            </w:r>
            <w:r w:rsidR="00CD0100">
              <w:t xml:space="preserve"> Aufnahme der Arbeiten</w:t>
            </w:r>
            <w:r>
              <w:t xml:space="preserve"> eine </w:t>
            </w:r>
            <w:r w:rsidRPr="00CD0100">
              <w:rPr>
                <w:b/>
                <w:bCs/>
              </w:rPr>
              <w:t>Gefährdungsbeurteilung</w:t>
            </w:r>
            <w:r>
              <w:t xml:space="preserve"> gem. §4 BiostoffV durchgeführt und dokumentiert werden! Hierbei beraten und unterstützen die Fachkräfte für Arbeitssicherheit, die Betriebsärzte sowie die Koordinatorin für Biol. Sicherheit (Vorlage siehe SharePoint GöGebS).</w:t>
            </w:r>
          </w:p>
          <w:p w14:paraId="4A11706F" w14:textId="5C4FF175" w:rsidR="00CD0100" w:rsidRDefault="00E410B1" w:rsidP="00CD0100">
            <w:pPr>
              <w:pStyle w:val="Listenabsatz"/>
              <w:ind w:left="360"/>
            </w:pPr>
            <w:r>
              <w:t>In dem Zuge muss auch eine Prüfung erfolgen, ob Biostoffe, Arbeitsverfahren oder –mittel gegen weniger gefährdende ersetzt werden können (Substitutionsprüfung).</w:t>
            </w:r>
          </w:p>
        </w:tc>
        <w:sdt>
          <w:sdtPr>
            <w:id w:val="939800491"/>
            <w14:checkbox>
              <w14:checked w14:val="0"/>
              <w14:checkedState w14:val="2612" w14:font="MS Gothic"/>
              <w14:uncheckedState w14:val="2610" w14:font="MS Gothic"/>
            </w14:checkbox>
          </w:sdtPr>
          <w:sdtEndPr/>
          <w:sdtContent>
            <w:tc>
              <w:tcPr>
                <w:tcW w:w="567" w:type="dxa"/>
                <w:vAlign w:val="center"/>
              </w:tcPr>
              <w:p w14:paraId="1A133010" w14:textId="77777777" w:rsidR="00E410B1" w:rsidRDefault="00E410B1" w:rsidP="00211683">
                <w:pPr>
                  <w:jc w:val="center"/>
                </w:pPr>
                <w:r>
                  <w:rPr>
                    <w:rFonts w:ascii="MS Gothic" w:eastAsia="MS Gothic" w:hAnsi="MS Gothic" w:hint="eastAsia"/>
                  </w:rPr>
                  <w:t>☐</w:t>
                </w:r>
              </w:p>
            </w:tc>
          </w:sdtContent>
        </w:sdt>
        <w:sdt>
          <w:sdtPr>
            <w:id w:val="-468525300"/>
            <w14:checkbox>
              <w14:checked w14:val="0"/>
              <w14:checkedState w14:val="2612" w14:font="MS Gothic"/>
              <w14:uncheckedState w14:val="2610" w14:font="MS Gothic"/>
            </w14:checkbox>
          </w:sdtPr>
          <w:sdtEndPr/>
          <w:sdtContent>
            <w:tc>
              <w:tcPr>
                <w:tcW w:w="567" w:type="dxa"/>
                <w:vAlign w:val="center"/>
              </w:tcPr>
              <w:p w14:paraId="6D279234" w14:textId="77777777" w:rsidR="00E410B1" w:rsidRDefault="00E410B1" w:rsidP="00211683">
                <w:pPr>
                  <w:jc w:val="center"/>
                </w:pPr>
                <w:r>
                  <w:rPr>
                    <w:rFonts w:ascii="MS Gothic" w:eastAsia="MS Gothic" w:hAnsi="MS Gothic" w:hint="eastAsia"/>
                  </w:rPr>
                  <w:t>☐</w:t>
                </w:r>
              </w:p>
            </w:tc>
          </w:sdtContent>
        </w:sdt>
        <w:sdt>
          <w:sdtPr>
            <w:id w:val="734744064"/>
            <w14:checkbox>
              <w14:checked w14:val="0"/>
              <w14:checkedState w14:val="2612" w14:font="MS Gothic"/>
              <w14:uncheckedState w14:val="2610" w14:font="MS Gothic"/>
            </w14:checkbox>
          </w:sdtPr>
          <w:sdtContent>
            <w:tc>
              <w:tcPr>
                <w:tcW w:w="567" w:type="dxa"/>
                <w:shd w:val="clear" w:color="auto" w:fill="auto"/>
                <w:vAlign w:val="center"/>
              </w:tcPr>
              <w:p w14:paraId="2220BE2B" w14:textId="589990B4" w:rsidR="00E410B1" w:rsidRDefault="00102693" w:rsidP="00211683">
                <w:pPr>
                  <w:jc w:val="center"/>
                </w:pPr>
                <w:r>
                  <w:rPr>
                    <w:rFonts w:ascii="MS Gothic" w:eastAsia="MS Gothic" w:hAnsi="MS Gothic" w:hint="eastAsia"/>
                  </w:rPr>
                  <w:t>☐</w:t>
                </w:r>
              </w:p>
            </w:tc>
          </w:sdtContent>
        </w:sdt>
        <w:tc>
          <w:tcPr>
            <w:tcW w:w="3259" w:type="dxa"/>
            <w:shd w:val="clear" w:color="auto" w:fill="auto"/>
          </w:tcPr>
          <w:p w14:paraId="5D2C330A" w14:textId="77777777" w:rsidR="00E410B1" w:rsidRPr="00861D90" w:rsidRDefault="00E410B1" w:rsidP="00E26750">
            <w:pPr>
              <w:jc w:val="both"/>
            </w:pPr>
          </w:p>
        </w:tc>
      </w:tr>
      <w:tr w:rsidR="00211683" w:rsidRPr="00CB1CD7" w14:paraId="7CF3BA38" w14:textId="77777777" w:rsidTr="00211683">
        <w:tc>
          <w:tcPr>
            <w:tcW w:w="10740" w:type="dxa"/>
            <w:gridSpan w:val="6"/>
            <w:shd w:val="clear" w:color="auto" w:fill="D9D9D9" w:themeFill="background1" w:themeFillShade="D9"/>
          </w:tcPr>
          <w:p w14:paraId="6722B0E9" w14:textId="77777777" w:rsidR="00211683" w:rsidRPr="00CB1CD7" w:rsidRDefault="00211683" w:rsidP="00E26750">
            <w:pPr>
              <w:pStyle w:val="Listenabsatz"/>
              <w:numPr>
                <w:ilvl w:val="0"/>
                <w:numId w:val="21"/>
              </w:numPr>
              <w:jc w:val="both"/>
              <w:rPr>
                <w:b/>
              </w:rPr>
            </w:pPr>
            <w:r w:rsidRPr="00CB1CD7">
              <w:rPr>
                <w:b/>
              </w:rPr>
              <w:t>Kennzeichnung/Zutritt</w:t>
            </w:r>
          </w:p>
        </w:tc>
        <w:tc>
          <w:tcPr>
            <w:tcW w:w="3259" w:type="dxa"/>
            <w:shd w:val="clear" w:color="auto" w:fill="D9D9D9" w:themeFill="background1" w:themeFillShade="D9"/>
          </w:tcPr>
          <w:p w14:paraId="38E9D095" w14:textId="77777777" w:rsidR="00211683" w:rsidRPr="00861D90" w:rsidRDefault="00211683" w:rsidP="00E26750">
            <w:pPr>
              <w:jc w:val="both"/>
            </w:pPr>
          </w:p>
        </w:tc>
      </w:tr>
      <w:tr w:rsidR="00211683" w:rsidRPr="00CB1CD7" w14:paraId="09F62A1D" w14:textId="77777777" w:rsidTr="00CD0100">
        <w:tc>
          <w:tcPr>
            <w:tcW w:w="1980" w:type="dxa"/>
          </w:tcPr>
          <w:p w14:paraId="2D3BEB3C" w14:textId="77777777" w:rsidR="00211683" w:rsidRPr="00CB1CD7" w:rsidRDefault="00211683" w:rsidP="00CD0100">
            <w:pPr>
              <w:pStyle w:val="Listenabsatz"/>
              <w:numPr>
                <w:ilvl w:val="1"/>
                <w:numId w:val="1"/>
              </w:numPr>
              <w:ind w:left="458"/>
            </w:pPr>
            <w:r w:rsidRPr="00CB1CD7">
              <w:lastRenderedPageBreak/>
              <w:t>Kennzeichnung der Räume</w:t>
            </w:r>
          </w:p>
        </w:tc>
        <w:tc>
          <w:tcPr>
            <w:tcW w:w="5641" w:type="dxa"/>
          </w:tcPr>
          <w:p w14:paraId="6EBC1E0F" w14:textId="2994A436" w:rsidR="00211683" w:rsidRPr="00CB1CD7" w:rsidRDefault="00211683" w:rsidP="00E26750">
            <w:pPr>
              <w:jc w:val="both"/>
            </w:pPr>
            <w:r w:rsidRPr="00CB1CD7">
              <w:t>Die Zugangstür zum Schutzstufenbereich muss von außen deutlich und dauerhaft mit der Schutzstufe und dem „Symbol für Biogefährdung“ (Anhang I BioStoffV) gekennzeichnet sein.</w:t>
            </w:r>
          </w:p>
        </w:tc>
        <w:tc>
          <w:tcPr>
            <w:tcW w:w="1418" w:type="dxa"/>
          </w:tcPr>
          <w:p w14:paraId="41DA074E" w14:textId="77777777" w:rsidR="00211683" w:rsidRPr="00CB1CD7" w:rsidRDefault="00211683" w:rsidP="00E26750">
            <w:r w:rsidRPr="00CB1CD7">
              <w:t>TRBA 100, 5.3 (9); FwDV 500</w:t>
            </w:r>
          </w:p>
        </w:tc>
        <w:sdt>
          <w:sdtPr>
            <w:id w:val="614880137"/>
            <w14:checkbox>
              <w14:checked w14:val="0"/>
              <w14:checkedState w14:val="2612" w14:font="MS Gothic"/>
              <w14:uncheckedState w14:val="2610" w14:font="MS Gothic"/>
            </w14:checkbox>
          </w:sdtPr>
          <w:sdtEndPr/>
          <w:sdtContent>
            <w:tc>
              <w:tcPr>
                <w:tcW w:w="567" w:type="dxa"/>
                <w:vAlign w:val="center"/>
              </w:tcPr>
              <w:p w14:paraId="64571DDD" w14:textId="77777777" w:rsidR="00211683" w:rsidRDefault="00710195" w:rsidP="00211683">
                <w:pPr>
                  <w:jc w:val="center"/>
                </w:pPr>
                <w:r>
                  <w:rPr>
                    <w:rFonts w:ascii="MS Gothic" w:eastAsia="MS Gothic" w:hAnsi="MS Gothic" w:hint="eastAsia"/>
                  </w:rPr>
                  <w:t>☐</w:t>
                </w:r>
              </w:p>
            </w:tc>
          </w:sdtContent>
        </w:sdt>
        <w:sdt>
          <w:sdtPr>
            <w:id w:val="33167797"/>
            <w14:checkbox>
              <w14:checked w14:val="0"/>
              <w14:checkedState w14:val="2612" w14:font="MS Gothic"/>
              <w14:uncheckedState w14:val="2610" w14:font="MS Gothic"/>
            </w14:checkbox>
          </w:sdtPr>
          <w:sdtEndPr/>
          <w:sdtContent>
            <w:tc>
              <w:tcPr>
                <w:tcW w:w="567" w:type="dxa"/>
                <w:vAlign w:val="center"/>
              </w:tcPr>
              <w:p w14:paraId="7D21A204" w14:textId="77777777" w:rsidR="00211683" w:rsidRDefault="00430853" w:rsidP="00211683">
                <w:pPr>
                  <w:jc w:val="center"/>
                </w:pPr>
                <w:r>
                  <w:rPr>
                    <w:rFonts w:ascii="MS Gothic" w:eastAsia="MS Gothic" w:hAnsi="MS Gothic" w:hint="eastAsia"/>
                  </w:rPr>
                  <w:t>☐</w:t>
                </w:r>
              </w:p>
            </w:tc>
          </w:sdtContent>
        </w:sdt>
        <w:sdt>
          <w:sdtPr>
            <w:id w:val="-188989241"/>
            <w14:checkbox>
              <w14:checked w14:val="0"/>
              <w14:checkedState w14:val="2612" w14:font="MS Gothic"/>
              <w14:uncheckedState w14:val="2610" w14:font="MS Gothic"/>
            </w14:checkbox>
          </w:sdtPr>
          <w:sdtEndPr/>
          <w:sdtContent>
            <w:tc>
              <w:tcPr>
                <w:tcW w:w="567" w:type="dxa"/>
                <w:vAlign w:val="center"/>
              </w:tcPr>
              <w:p w14:paraId="0E516187" w14:textId="77777777" w:rsidR="00211683" w:rsidRPr="00CB1CD7" w:rsidRDefault="00211683" w:rsidP="00211683">
                <w:pPr>
                  <w:jc w:val="center"/>
                </w:pPr>
                <w:r>
                  <w:rPr>
                    <w:rFonts w:ascii="MS Gothic" w:eastAsia="MS Gothic" w:hAnsi="MS Gothic" w:hint="eastAsia"/>
                  </w:rPr>
                  <w:t>☐</w:t>
                </w:r>
              </w:p>
            </w:tc>
          </w:sdtContent>
        </w:sdt>
        <w:tc>
          <w:tcPr>
            <w:tcW w:w="3259" w:type="dxa"/>
            <w:vAlign w:val="center"/>
          </w:tcPr>
          <w:p w14:paraId="63172513" w14:textId="77777777" w:rsidR="00211683" w:rsidRPr="00861D90" w:rsidRDefault="00211683" w:rsidP="00E32A9D"/>
        </w:tc>
      </w:tr>
      <w:tr w:rsidR="00211683" w:rsidRPr="00CB1CD7" w14:paraId="1ABB3084" w14:textId="77777777" w:rsidTr="00CD0100">
        <w:trPr>
          <w:cantSplit/>
        </w:trPr>
        <w:tc>
          <w:tcPr>
            <w:tcW w:w="1980" w:type="dxa"/>
          </w:tcPr>
          <w:p w14:paraId="43BA56B4" w14:textId="46968447" w:rsidR="00211683" w:rsidRPr="00CB1CD7" w:rsidRDefault="00211683" w:rsidP="00CD0100">
            <w:pPr>
              <w:pStyle w:val="Listenabsatz"/>
              <w:numPr>
                <w:ilvl w:val="1"/>
                <w:numId w:val="1"/>
              </w:numPr>
              <w:ind w:left="458"/>
            </w:pPr>
            <w:r w:rsidRPr="00CB1CD7">
              <w:t>Zutrittsbeschränkung</w:t>
            </w:r>
          </w:p>
        </w:tc>
        <w:tc>
          <w:tcPr>
            <w:tcW w:w="5641" w:type="dxa"/>
          </w:tcPr>
          <w:p w14:paraId="5E9D0BC2" w14:textId="77777777" w:rsidR="00211683" w:rsidRPr="00CB1CD7" w:rsidRDefault="00211683" w:rsidP="00E26750">
            <w:pPr>
              <w:jc w:val="both"/>
            </w:pPr>
            <w:r w:rsidRPr="00CB1CD7">
              <w:t>Die Zahl der Zugangsberechtigten ist auf benannte Beschäftigte zu beschränken. Andere Personen dürfen den Schutzstufenbereich nur mit Erlaubnis des/der Verantwortlichen betreten.</w:t>
            </w:r>
          </w:p>
          <w:p w14:paraId="49D8FF8C" w14:textId="77777777" w:rsidR="00211683" w:rsidRPr="00CE2C94" w:rsidRDefault="00211683" w:rsidP="00E26750">
            <w:pPr>
              <w:jc w:val="both"/>
              <w:rPr>
                <w:sz w:val="18"/>
                <w:szCs w:val="18"/>
              </w:rPr>
            </w:pPr>
            <w:r w:rsidRPr="00CE2C94">
              <w:rPr>
                <w:sz w:val="18"/>
                <w:szCs w:val="18"/>
              </w:rPr>
              <w:t>Werden Tätigkeiten mit den in der Verordnung (EG) Nr. 388/2012 über die Kontrolle der Ausfuhr von Gütern mit doppeltem Verwendungszweck gelisteten humanpathogenen biologischen Arbeitsstoffen durchgeführt, ist ein kontrollierter Zugang (z.B. durch elektronische Zutrittskontrolle) zum Schutzstufenbereich notwendig.</w:t>
            </w:r>
          </w:p>
        </w:tc>
        <w:tc>
          <w:tcPr>
            <w:tcW w:w="1418" w:type="dxa"/>
          </w:tcPr>
          <w:p w14:paraId="24D0712E" w14:textId="77777777" w:rsidR="00211683" w:rsidRPr="00CB1CD7" w:rsidRDefault="00211683" w:rsidP="00E26750">
            <w:r w:rsidRPr="00CB1CD7">
              <w:t>TRBA 100, 5.3 (11); TRBA 100, 5.1 (8)</w:t>
            </w:r>
          </w:p>
        </w:tc>
        <w:sdt>
          <w:sdtPr>
            <w:id w:val="-1939514883"/>
            <w14:checkbox>
              <w14:checked w14:val="0"/>
              <w14:checkedState w14:val="2612" w14:font="MS Gothic"/>
              <w14:uncheckedState w14:val="2610" w14:font="MS Gothic"/>
            </w14:checkbox>
          </w:sdtPr>
          <w:sdtEndPr/>
          <w:sdtContent>
            <w:tc>
              <w:tcPr>
                <w:tcW w:w="567" w:type="dxa"/>
                <w:vAlign w:val="center"/>
              </w:tcPr>
              <w:p w14:paraId="6B92CAF3" w14:textId="77777777" w:rsidR="00211683" w:rsidRDefault="00211683" w:rsidP="00211683">
                <w:pPr>
                  <w:jc w:val="center"/>
                </w:pPr>
                <w:r>
                  <w:rPr>
                    <w:rFonts w:ascii="MS Gothic" w:eastAsia="MS Gothic" w:hAnsi="MS Gothic" w:hint="eastAsia"/>
                  </w:rPr>
                  <w:t>☐</w:t>
                </w:r>
              </w:p>
            </w:tc>
          </w:sdtContent>
        </w:sdt>
        <w:sdt>
          <w:sdtPr>
            <w:id w:val="-2012371310"/>
            <w14:checkbox>
              <w14:checked w14:val="0"/>
              <w14:checkedState w14:val="2612" w14:font="MS Gothic"/>
              <w14:uncheckedState w14:val="2610" w14:font="MS Gothic"/>
            </w14:checkbox>
          </w:sdtPr>
          <w:sdtEndPr/>
          <w:sdtContent>
            <w:tc>
              <w:tcPr>
                <w:tcW w:w="567" w:type="dxa"/>
                <w:vAlign w:val="center"/>
              </w:tcPr>
              <w:p w14:paraId="7980B2ED" w14:textId="77777777" w:rsidR="00211683" w:rsidRDefault="00710195" w:rsidP="00211683">
                <w:pPr>
                  <w:jc w:val="center"/>
                </w:pPr>
                <w:r>
                  <w:rPr>
                    <w:rFonts w:ascii="MS Gothic" w:eastAsia="MS Gothic" w:hAnsi="MS Gothic" w:hint="eastAsia"/>
                  </w:rPr>
                  <w:t>☐</w:t>
                </w:r>
              </w:p>
            </w:tc>
          </w:sdtContent>
        </w:sdt>
        <w:sdt>
          <w:sdtPr>
            <w:id w:val="440813327"/>
            <w14:checkbox>
              <w14:checked w14:val="0"/>
              <w14:checkedState w14:val="2612" w14:font="MS Gothic"/>
              <w14:uncheckedState w14:val="2610" w14:font="MS Gothic"/>
            </w14:checkbox>
          </w:sdtPr>
          <w:sdtEndPr/>
          <w:sdtContent>
            <w:tc>
              <w:tcPr>
                <w:tcW w:w="567" w:type="dxa"/>
                <w:vAlign w:val="center"/>
              </w:tcPr>
              <w:p w14:paraId="595D289B"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65EB9B8C" w14:textId="77777777" w:rsidR="00211683" w:rsidRPr="00861D90" w:rsidRDefault="00211683" w:rsidP="00E32A9D"/>
        </w:tc>
      </w:tr>
      <w:tr w:rsidR="00211683" w:rsidRPr="00CB1CD7" w14:paraId="143B58C6" w14:textId="77777777" w:rsidTr="00211683">
        <w:tc>
          <w:tcPr>
            <w:tcW w:w="10740" w:type="dxa"/>
            <w:gridSpan w:val="6"/>
            <w:shd w:val="clear" w:color="auto" w:fill="D9D9D9" w:themeFill="background1" w:themeFillShade="D9"/>
          </w:tcPr>
          <w:p w14:paraId="1A40E596" w14:textId="77777777" w:rsidR="00211683" w:rsidRPr="00CB1CD7" w:rsidRDefault="00211683" w:rsidP="00E26750">
            <w:pPr>
              <w:pStyle w:val="Listenabsatz"/>
              <w:numPr>
                <w:ilvl w:val="0"/>
                <w:numId w:val="1"/>
              </w:numPr>
              <w:jc w:val="both"/>
              <w:rPr>
                <w:b/>
              </w:rPr>
            </w:pPr>
            <w:r w:rsidRPr="00CB1CD7">
              <w:rPr>
                <w:b/>
              </w:rPr>
              <w:t xml:space="preserve">Bauliche/technische </w:t>
            </w:r>
            <w:r>
              <w:rPr>
                <w:b/>
              </w:rPr>
              <w:t>Schutzmaßnahmen</w:t>
            </w:r>
          </w:p>
        </w:tc>
        <w:tc>
          <w:tcPr>
            <w:tcW w:w="3259" w:type="dxa"/>
            <w:shd w:val="clear" w:color="auto" w:fill="D9D9D9" w:themeFill="background1" w:themeFillShade="D9"/>
          </w:tcPr>
          <w:p w14:paraId="46B476B8" w14:textId="77777777" w:rsidR="00211683" w:rsidRPr="00861D90" w:rsidRDefault="00211683" w:rsidP="00E26750">
            <w:pPr>
              <w:jc w:val="both"/>
            </w:pPr>
          </w:p>
        </w:tc>
      </w:tr>
      <w:tr w:rsidR="00211683" w:rsidRPr="00CB1CD7" w14:paraId="16F508A5" w14:textId="77777777" w:rsidTr="00CD0100">
        <w:tc>
          <w:tcPr>
            <w:tcW w:w="1980" w:type="dxa"/>
          </w:tcPr>
          <w:p w14:paraId="43C954EF" w14:textId="77777777" w:rsidR="00211683" w:rsidRPr="00CB1CD7" w:rsidRDefault="00211683" w:rsidP="00CD0100">
            <w:pPr>
              <w:pStyle w:val="Listenabsatz"/>
              <w:numPr>
                <w:ilvl w:val="1"/>
                <w:numId w:val="1"/>
              </w:numPr>
              <w:ind w:left="458"/>
            </w:pPr>
            <w:r w:rsidRPr="00CB1CD7">
              <w:t>Räume</w:t>
            </w:r>
          </w:p>
        </w:tc>
        <w:tc>
          <w:tcPr>
            <w:tcW w:w="5641" w:type="dxa"/>
          </w:tcPr>
          <w:p w14:paraId="1DCC26B9" w14:textId="77777777" w:rsidR="00211683" w:rsidRPr="00CB1CD7" w:rsidRDefault="00211683" w:rsidP="00E26750">
            <w:pPr>
              <w:jc w:val="both"/>
            </w:pPr>
            <w:r w:rsidRPr="00CB1CD7">
              <w:t>Laboratorien müssen aus ausreichend großen Räumen bestehen, die gegenüber anderen Räumen und Nutzungsflächen baulich abgegrenzt sind, in denen keine Tätigkeiten mit biologischen Arbeitsstoffen ausgeführt werden.</w:t>
            </w:r>
          </w:p>
        </w:tc>
        <w:tc>
          <w:tcPr>
            <w:tcW w:w="1418" w:type="dxa"/>
          </w:tcPr>
          <w:p w14:paraId="3BF64F24" w14:textId="77777777" w:rsidR="00211683" w:rsidRPr="00CB1CD7" w:rsidRDefault="00211683" w:rsidP="00E26750">
            <w:r w:rsidRPr="00CB1CD7">
              <w:t>TRBA 100, 5.3 (1)</w:t>
            </w:r>
          </w:p>
        </w:tc>
        <w:sdt>
          <w:sdtPr>
            <w:id w:val="-1635254638"/>
            <w14:checkbox>
              <w14:checked w14:val="0"/>
              <w14:checkedState w14:val="2612" w14:font="MS Gothic"/>
              <w14:uncheckedState w14:val="2610" w14:font="MS Gothic"/>
            </w14:checkbox>
          </w:sdtPr>
          <w:sdtEndPr/>
          <w:sdtContent>
            <w:tc>
              <w:tcPr>
                <w:tcW w:w="567" w:type="dxa"/>
                <w:vAlign w:val="center"/>
              </w:tcPr>
              <w:p w14:paraId="7346D9F0" w14:textId="77777777" w:rsidR="00211683" w:rsidRDefault="00211683" w:rsidP="00211683">
                <w:pPr>
                  <w:jc w:val="center"/>
                </w:pPr>
                <w:r>
                  <w:rPr>
                    <w:rFonts w:ascii="MS Gothic" w:eastAsia="MS Gothic" w:hAnsi="MS Gothic" w:hint="eastAsia"/>
                  </w:rPr>
                  <w:t>☐</w:t>
                </w:r>
              </w:p>
            </w:tc>
          </w:sdtContent>
        </w:sdt>
        <w:sdt>
          <w:sdtPr>
            <w:id w:val="-2021452180"/>
            <w14:checkbox>
              <w14:checked w14:val="0"/>
              <w14:checkedState w14:val="2612" w14:font="MS Gothic"/>
              <w14:uncheckedState w14:val="2610" w14:font="MS Gothic"/>
            </w14:checkbox>
          </w:sdtPr>
          <w:sdtEndPr/>
          <w:sdtContent>
            <w:tc>
              <w:tcPr>
                <w:tcW w:w="567" w:type="dxa"/>
                <w:vAlign w:val="center"/>
              </w:tcPr>
              <w:p w14:paraId="0023BF6E" w14:textId="77777777" w:rsidR="00211683" w:rsidRDefault="00211683" w:rsidP="00211683">
                <w:pPr>
                  <w:jc w:val="center"/>
                </w:pPr>
                <w:r>
                  <w:rPr>
                    <w:rFonts w:ascii="MS Gothic" w:eastAsia="MS Gothic" w:hAnsi="MS Gothic" w:hint="eastAsia"/>
                  </w:rPr>
                  <w:t>☐</w:t>
                </w:r>
              </w:p>
            </w:tc>
          </w:sdtContent>
        </w:sdt>
        <w:sdt>
          <w:sdtPr>
            <w:id w:val="496003985"/>
            <w14:checkbox>
              <w14:checked w14:val="0"/>
              <w14:checkedState w14:val="2612" w14:font="MS Gothic"/>
              <w14:uncheckedState w14:val="2610" w14:font="MS Gothic"/>
            </w14:checkbox>
          </w:sdtPr>
          <w:sdtEndPr/>
          <w:sdtContent>
            <w:tc>
              <w:tcPr>
                <w:tcW w:w="567" w:type="dxa"/>
                <w:vAlign w:val="center"/>
              </w:tcPr>
              <w:p w14:paraId="7673A085"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4CE20C0C" w14:textId="77777777" w:rsidR="00211683" w:rsidRPr="00861D90" w:rsidRDefault="00211683" w:rsidP="00E26750">
            <w:pPr>
              <w:jc w:val="center"/>
            </w:pPr>
          </w:p>
        </w:tc>
      </w:tr>
      <w:tr w:rsidR="00211683" w:rsidRPr="00CB1CD7" w14:paraId="07A9F466" w14:textId="77777777" w:rsidTr="00CD0100">
        <w:trPr>
          <w:cantSplit/>
        </w:trPr>
        <w:tc>
          <w:tcPr>
            <w:tcW w:w="1980" w:type="dxa"/>
          </w:tcPr>
          <w:p w14:paraId="51596514" w14:textId="77777777" w:rsidR="00211683" w:rsidRPr="00CB1CD7" w:rsidRDefault="00211683" w:rsidP="00CD0100">
            <w:pPr>
              <w:pStyle w:val="Listenabsatz"/>
              <w:numPr>
                <w:ilvl w:val="1"/>
                <w:numId w:val="1"/>
              </w:numPr>
              <w:ind w:left="458"/>
            </w:pPr>
            <w:r w:rsidRPr="00CB1CD7">
              <w:t>Oberflächen</w:t>
            </w:r>
          </w:p>
        </w:tc>
        <w:tc>
          <w:tcPr>
            <w:tcW w:w="5641" w:type="dxa"/>
          </w:tcPr>
          <w:p w14:paraId="6D878083" w14:textId="77777777" w:rsidR="00211683" w:rsidRPr="00CB1CD7" w:rsidRDefault="00211683" w:rsidP="00E26750">
            <w:pPr>
              <w:jc w:val="both"/>
            </w:pPr>
            <w:r w:rsidRPr="00CB1CD7">
              <w:t>Oberflächen (Arbeitsflächen und angrenzende Wandflächen, Fußböden, Flächen an Geräten und Apparaten, die mit biologischen Arbeitsstoffen in Kontakt kommen können) müssen leicht zu reinigen und beständig gegenüber den eingesetzten Desinfektionsmitteln sein</w:t>
            </w:r>
            <w:r w:rsidRPr="00511869">
              <w:t>. Ein fugenloser Wand-Boden-Anschluss ist vorzusehen.</w:t>
            </w:r>
            <w:r w:rsidRPr="00CB1CD7">
              <w:t xml:space="preserve"> </w:t>
            </w:r>
          </w:p>
          <w:p w14:paraId="025A100A" w14:textId="77777777" w:rsidR="00211683" w:rsidRPr="00CB1CD7" w:rsidRDefault="00211683" w:rsidP="00E26750">
            <w:pPr>
              <w:jc w:val="both"/>
            </w:pPr>
            <w:r w:rsidRPr="00CB1CD7">
              <w:t>[Keine stoffbezogenen Stühle, Holz nur lackiert, keine beschädigten Oberflächen].</w:t>
            </w:r>
          </w:p>
        </w:tc>
        <w:tc>
          <w:tcPr>
            <w:tcW w:w="1418" w:type="dxa"/>
          </w:tcPr>
          <w:p w14:paraId="5425F938" w14:textId="77777777" w:rsidR="00211683" w:rsidRPr="00CB1CD7" w:rsidRDefault="00211683" w:rsidP="00E26750">
            <w:r w:rsidRPr="00CB1CD7">
              <w:t>TRBA 100, 5.3 (3)</w:t>
            </w:r>
          </w:p>
        </w:tc>
        <w:sdt>
          <w:sdtPr>
            <w:id w:val="-1621067702"/>
            <w14:checkbox>
              <w14:checked w14:val="0"/>
              <w14:checkedState w14:val="2612" w14:font="MS Gothic"/>
              <w14:uncheckedState w14:val="2610" w14:font="MS Gothic"/>
            </w14:checkbox>
          </w:sdtPr>
          <w:sdtEndPr/>
          <w:sdtContent>
            <w:tc>
              <w:tcPr>
                <w:tcW w:w="567" w:type="dxa"/>
                <w:vAlign w:val="center"/>
              </w:tcPr>
              <w:p w14:paraId="4FD6ABEB" w14:textId="77777777" w:rsidR="00211683" w:rsidRDefault="00211683" w:rsidP="00211683">
                <w:pPr>
                  <w:jc w:val="center"/>
                </w:pPr>
                <w:r>
                  <w:rPr>
                    <w:rFonts w:ascii="MS Gothic" w:eastAsia="MS Gothic" w:hAnsi="MS Gothic" w:hint="eastAsia"/>
                  </w:rPr>
                  <w:t>☐</w:t>
                </w:r>
              </w:p>
            </w:tc>
          </w:sdtContent>
        </w:sdt>
        <w:sdt>
          <w:sdtPr>
            <w:id w:val="255799163"/>
            <w14:checkbox>
              <w14:checked w14:val="0"/>
              <w14:checkedState w14:val="2612" w14:font="MS Gothic"/>
              <w14:uncheckedState w14:val="2610" w14:font="MS Gothic"/>
            </w14:checkbox>
          </w:sdtPr>
          <w:sdtEndPr/>
          <w:sdtContent>
            <w:tc>
              <w:tcPr>
                <w:tcW w:w="567" w:type="dxa"/>
                <w:vAlign w:val="center"/>
              </w:tcPr>
              <w:p w14:paraId="798E274A" w14:textId="77777777" w:rsidR="00211683" w:rsidRDefault="00211683" w:rsidP="00211683">
                <w:pPr>
                  <w:jc w:val="center"/>
                </w:pPr>
                <w:r>
                  <w:rPr>
                    <w:rFonts w:ascii="MS Gothic" w:eastAsia="MS Gothic" w:hAnsi="MS Gothic" w:hint="eastAsia"/>
                  </w:rPr>
                  <w:t>☐</w:t>
                </w:r>
              </w:p>
            </w:tc>
          </w:sdtContent>
        </w:sdt>
        <w:sdt>
          <w:sdtPr>
            <w:id w:val="-538352683"/>
            <w14:checkbox>
              <w14:checked w14:val="0"/>
              <w14:checkedState w14:val="2612" w14:font="MS Gothic"/>
              <w14:uncheckedState w14:val="2610" w14:font="MS Gothic"/>
            </w14:checkbox>
          </w:sdtPr>
          <w:sdtEndPr/>
          <w:sdtContent>
            <w:tc>
              <w:tcPr>
                <w:tcW w:w="567" w:type="dxa"/>
                <w:vAlign w:val="center"/>
              </w:tcPr>
              <w:p w14:paraId="5D8648AD"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039F0C5D" w14:textId="77777777" w:rsidR="00211683" w:rsidRPr="00861D90" w:rsidRDefault="00211683" w:rsidP="00E26750">
            <w:pPr>
              <w:jc w:val="center"/>
            </w:pPr>
          </w:p>
        </w:tc>
      </w:tr>
      <w:tr w:rsidR="00211683" w:rsidRPr="00CB1CD7" w14:paraId="449A4D48" w14:textId="77777777" w:rsidTr="00CD0100">
        <w:tc>
          <w:tcPr>
            <w:tcW w:w="1980" w:type="dxa"/>
          </w:tcPr>
          <w:p w14:paraId="1E11B1C4" w14:textId="77777777" w:rsidR="00211683" w:rsidRPr="00CB1CD7" w:rsidRDefault="00211683" w:rsidP="00CD0100">
            <w:pPr>
              <w:pStyle w:val="Listenabsatz"/>
              <w:numPr>
                <w:ilvl w:val="1"/>
                <w:numId w:val="1"/>
              </w:numPr>
              <w:ind w:left="458"/>
            </w:pPr>
            <w:r w:rsidRPr="00CB1CD7">
              <w:lastRenderedPageBreak/>
              <w:t>Einrichtung</w:t>
            </w:r>
          </w:p>
        </w:tc>
        <w:tc>
          <w:tcPr>
            <w:tcW w:w="5641" w:type="dxa"/>
          </w:tcPr>
          <w:p w14:paraId="27DD7556" w14:textId="77777777" w:rsidR="00211683" w:rsidRPr="00CB1CD7" w:rsidRDefault="00211683" w:rsidP="00E26750">
            <w:pPr>
              <w:jc w:val="both"/>
            </w:pPr>
            <w:r w:rsidRPr="00CB1CD7">
              <w:t xml:space="preserve">Unterbauten zum Fußboden abgedichtet oder vollständig herausziehbar. Spritzschutz bei gegenüberliegenden Arbeitsflächen. </w:t>
            </w:r>
          </w:p>
        </w:tc>
        <w:tc>
          <w:tcPr>
            <w:tcW w:w="1418" w:type="dxa"/>
          </w:tcPr>
          <w:p w14:paraId="75EB2281" w14:textId="77777777" w:rsidR="00211683" w:rsidRPr="00CB1CD7" w:rsidRDefault="00211683" w:rsidP="00E26750">
            <w:r w:rsidRPr="00CB1CD7">
              <w:t>DGUV-I  213-850, 6.4.1</w:t>
            </w:r>
          </w:p>
        </w:tc>
        <w:sdt>
          <w:sdtPr>
            <w:id w:val="-1072894046"/>
            <w14:checkbox>
              <w14:checked w14:val="0"/>
              <w14:checkedState w14:val="2612" w14:font="MS Gothic"/>
              <w14:uncheckedState w14:val="2610" w14:font="MS Gothic"/>
            </w14:checkbox>
          </w:sdtPr>
          <w:sdtEndPr/>
          <w:sdtContent>
            <w:tc>
              <w:tcPr>
                <w:tcW w:w="567" w:type="dxa"/>
                <w:vAlign w:val="center"/>
              </w:tcPr>
              <w:p w14:paraId="5897ACE4" w14:textId="77777777" w:rsidR="00211683" w:rsidRDefault="00211683" w:rsidP="00211683">
                <w:pPr>
                  <w:jc w:val="center"/>
                </w:pPr>
                <w:r>
                  <w:rPr>
                    <w:rFonts w:ascii="MS Gothic" w:eastAsia="MS Gothic" w:hAnsi="MS Gothic" w:hint="eastAsia"/>
                  </w:rPr>
                  <w:t>☐</w:t>
                </w:r>
              </w:p>
            </w:tc>
          </w:sdtContent>
        </w:sdt>
        <w:sdt>
          <w:sdtPr>
            <w:id w:val="-1851019835"/>
            <w14:checkbox>
              <w14:checked w14:val="0"/>
              <w14:checkedState w14:val="2612" w14:font="MS Gothic"/>
              <w14:uncheckedState w14:val="2610" w14:font="MS Gothic"/>
            </w14:checkbox>
          </w:sdtPr>
          <w:sdtEndPr/>
          <w:sdtContent>
            <w:tc>
              <w:tcPr>
                <w:tcW w:w="567" w:type="dxa"/>
                <w:vAlign w:val="center"/>
              </w:tcPr>
              <w:p w14:paraId="4DD094BF" w14:textId="77777777" w:rsidR="00211683" w:rsidRDefault="00211683" w:rsidP="00211683">
                <w:pPr>
                  <w:jc w:val="center"/>
                </w:pPr>
                <w:r>
                  <w:rPr>
                    <w:rFonts w:ascii="MS Gothic" w:eastAsia="MS Gothic" w:hAnsi="MS Gothic" w:hint="eastAsia"/>
                  </w:rPr>
                  <w:t>☐</w:t>
                </w:r>
              </w:p>
            </w:tc>
          </w:sdtContent>
        </w:sdt>
        <w:sdt>
          <w:sdtPr>
            <w:id w:val="1203373061"/>
            <w14:checkbox>
              <w14:checked w14:val="0"/>
              <w14:checkedState w14:val="2612" w14:font="MS Gothic"/>
              <w14:uncheckedState w14:val="2610" w14:font="MS Gothic"/>
            </w14:checkbox>
          </w:sdtPr>
          <w:sdtEndPr/>
          <w:sdtContent>
            <w:tc>
              <w:tcPr>
                <w:tcW w:w="567" w:type="dxa"/>
                <w:vAlign w:val="center"/>
              </w:tcPr>
              <w:p w14:paraId="55E74F22"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25D3ACD6" w14:textId="77777777" w:rsidR="00211683" w:rsidRPr="00861D90" w:rsidRDefault="00211683" w:rsidP="00E26750">
            <w:pPr>
              <w:jc w:val="center"/>
            </w:pPr>
          </w:p>
        </w:tc>
      </w:tr>
      <w:tr w:rsidR="00102693" w:rsidRPr="00CB1CD7" w14:paraId="11C613E9" w14:textId="77777777" w:rsidTr="00CD0100">
        <w:tc>
          <w:tcPr>
            <w:tcW w:w="1980" w:type="dxa"/>
            <w:vMerge w:val="restart"/>
          </w:tcPr>
          <w:p w14:paraId="6E939E31" w14:textId="77777777" w:rsidR="00102693" w:rsidRPr="00CB1CD7" w:rsidRDefault="00102693" w:rsidP="00CD0100">
            <w:pPr>
              <w:pStyle w:val="Listenabsatz"/>
              <w:numPr>
                <w:ilvl w:val="1"/>
                <w:numId w:val="1"/>
              </w:numPr>
              <w:ind w:left="458"/>
            </w:pPr>
            <w:r w:rsidRPr="00CB1CD7">
              <w:t>Handwasch-becken</w:t>
            </w:r>
          </w:p>
        </w:tc>
        <w:tc>
          <w:tcPr>
            <w:tcW w:w="5641" w:type="dxa"/>
          </w:tcPr>
          <w:p w14:paraId="3028B23E" w14:textId="77777777" w:rsidR="00102693" w:rsidRPr="00CB1CD7" w:rsidRDefault="00102693" w:rsidP="00E26750">
            <w:pPr>
              <w:jc w:val="both"/>
            </w:pPr>
            <w:r w:rsidRPr="00CB1CD7">
              <w:t xml:space="preserve">Für die Desinfektion und Reinigung der Hände </w:t>
            </w:r>
            <w:r w:rsidRPr="007320F8">
              <w:rPr>
                <w:u w:val="single"/>
              </w:rPr>
              <w:t>müssen</w:t>
            </w:r>
            <w:r w:rsidRPr="00CB1CD7">
              <w:t xml:space="preserve"> ein Waschbecken, </w:t>
            </w:r>
            <w:r w:rsidRPr="00DC1759">
              <w:rPr>
                <w:b/>
              </w:rPr>
              <w:t>vorzugsweise</w:t>
            </w:r>
            <w:r w:rsidRPr="00CB1CD7">
              <w:t xml:space="preserve"> ein </w:t>
            </w:r>
            <w:r w:rsidRPr="00DC1759">
              <w:rPr>
                <w:b/>
              </w:rPr>
              <w:t>separates Handwaschbecken</w:t>
            </w:r>
            <w:r w:rsidRPr="00CB1CD7">
              <w:t xml:space="preserve">, mit Desinfektionsmittel-, Handwaschmittel-und Einmalhandtuchspender vorhanden sein. Wasserarmaturen und Desinfektionsmittelspender sind vorrangig </w:t>
            </w:r>
            <w:r w:rsidRPr="00A15C2F">
              <w:rPr>
                <w:u w:val="single"/>
              </w:rPr>
              <w:t>handbedienungslos</w:t>
            </w:r>
            <w:r w:rsidRPr="00CB1CD7">
              <w:t xml:space="preserve"> einzurichten. Die Installationen sind leicht zugänglich und vorzugsweise in der Nähe der Labortür anzubringen. </w:t>
            </w:r>
          </w:p>
        </w:tc>
        <w:tc>
          <w:tcPr>
            <w:tcW w:w="1418" w:type="dxa"/>
          </w:tcPr>
          <w:p w14:paraId="244AB27E" w14:textId="77777777" w:rsidR="00102693" w:rsidRPr="00CB1CD7" w:rsidRDefault="00102693" w:rsidP="00E26750">
            <w:r w:rsidRPr="00CB1CD7">
              <w:t>TRBA 100, 5.3 (4); DGUV-I 213-086, 8.1</w:t>
            </w:r>
          </w:p>
        </w:tc>
        <w:sdt>
          <w:sdtPr>
            <w:id w:val="-904442169"/>
            <w14:checkbox>
              <w14:checked w14:val="0"/>
              <w14:checkedState w14:val="2612" w14:font="MS Gothic"/>
              <w14:uncheckedState w14:val="2610" w14:font="MS Gothic"/>
            </w14:checkbox>
          </w:sdtPr>
          <w:sdtContent>
            <w:tc>
              <w:tcPr>
                <w:tcW w:w="567" w:type="dxa"/>
                <w:vAlign w:val="center"/>
              </w:tcPr>
              <w:p w14:paraId="60AE4791" w14:textId="77777777" w:rsidR="00102693" w:rsidRDefault="00102693" w:rsidP="00211683">
                <w:pPr>
                  <w:jc w:val="center"/>
                </w:pPr>
                <w:r>
                  <w:rPr>
                    <w:rFonts w:ascii="MS Gothic" w:eastAsia="MS Gothic" w:hAnsi="MS Gothic" w:hint="eastAsia"/>
                  </w:rPr>
                  <w:t>☐</w:t>
                </w:r>
              </w:p>
            </w:tc>
          </w:sdtContent>
        </w:sdt>
        <w:sdt>
          <w:sdtPr>
            <w:id w:val="-1945524877"/>
            <w14:checkbox>
              <w14:checked w14:val="0"/>
              <w14:checkedState w14:val="2612" w14:font="MS Gothic"/>
              <w14:uncheckedState w14:val="2610" w14:font="MS Gothic"/>
            </w14:checkbox>
          </w:sdtPr>
          <w:sdtContent>
            <w:tc>
              <w:tcPr>
                <w:tcW w:w="567" w:type="dxa"/>
                <w:vAlign w:val="center"/>
              </w:tcPr>
              <w:p w14:paraId="18FC5D92" w14:textId="77777777" w:rsidR="00102693" w:rsidRDefault="00102693" w:rsidP="00211683">
                <w:pPr>
                  <w:jc w:val="center"/>
                </w:pPr>
                <w:r>
                  <w:rPr>
                    <w:rFonts w:ascii="MS Gothic" w:eastAsia="MS Gothic" w:hAnsi="MS Gothic" w:hint="eastAsia"/>
                  </w:rPr>
                  <w:t>☐</w:t>
                </w:r>
              </w:p>
            </w:tc>
          </w:sdtContent>
        </w:sdt>
        <w:sdt>
          <w:sdtPr>
            <w:id w:val="1919904543"/>
            <w14:checkbox>
              <w14:checked w14:val="0"/>
              <w14:checkedState w14:val="2612" w14:font="MS Gothic"/>
              <w14:uncheckedState w14:val="2610" w14:font="MS Gothic"/>
            </w14:checkbox>
          </w:sdtPr>
          <w:sdtContent>
            <w:tc>
              <w:tcPr>
                <w:tcW w:w="567" w:type="dxa"/>
                <w:vAlign w:val="center"/>
              </w:tcPr>
              <w:p w14:paraId="249E5FFD" w14:textId="77777777" w:rsidR="00102693" w:rsidRPr="00CB1CD7" w:rsidRDefault="00102693" w:rsidP="00211683">
                <w:pPr>
                  <w:jc w:val="center"/>
                </w:pPr>
                <w:r w:rsidRPr="00CB1CD7">
                  <w:rPr>
                    <w:rFonts w:ascii="MS Gothic" w:eastAsia="MS Gothic" w:hAnsi="MS Gothic" w:hint="eastAsia"/>
                  </w:rPr>
                  <w:t>☐</w:t>
                </w:r>
              </w:p>
            </w:tc>
          </w:sdtContent>
        </w:sdt>
        <w:tc>
          <w:tcPr>
            <w:tcW w:w="3259" w:type="dxa"/>
          </w:tcPr>
          <w:p w14:paraId="6AD53E5B" w14:textId="77777777" w:rsidR="00102693" w:rsidRPr="00861D90" w:rsidRDefault="00102693" w:rsidP="00E26750">
            <w:pPr>
              <w:jc w:val="center"/>
            </w:pPr>
          </w:p>
        </w:tc>
      </w:tr>
      <w:tr w:rsidR="00102693" w:rsidRPr="00CB1CD7" w14:paraId="12D8EE7A" w14:textId="77777777" w:rsidTr="00CD0100">
        <w:tc>
          <w:tcPr>
            <w:tcW w:w="1980" w:type="dxa"/>
            <w:vMerge/>
          </w:tcPr>
          <w:p w14:paraId="63A99641" w14:textId="77777777" w:rsidR="00102693" w:rsidRPr="00CB1CD7" w:rsidRDefault="00102693" w:rsidP="00102693"/>
        </w:tc>
        <w:tc>
          <w:tcPr>
            <w:tcW w:w="5641" w:type="dxa"/>
          </w:tcPr>
          <w:p w14:paraId="7BF61C31" w14:textId="08AB965D" w:rsidR="00102693" w:rsidRPr="00CB1CD7" w:rsidRDefault="00102693" w:rsidP="00E26750">
            <w:pPr>
              <w:jc w:val="both"/>
            </w:pPr>
            <w:r w:rsidRPr="00102693">
              <w:rPr>
                <w:b/>
                <w:bCs/>
              </w:rPr>
              <w:t>Zellkultur:</w:t>
            </w:r>
            <w:r>
              <w:t xml:space="preserve"> </w:t>
            </w:r>
            <w:r w:rsidRPr="00102693">
              <w:t xml:space="preserve">das Waschbecken </w:t>
            </w:r>
            <w:r>
              <w:t xml:space="preserve">kann sich </w:t>
            </w:r>
            <w:r w:rsidRPr="00102693">
              <w:t>aus Produktschutzgründen auch in einem angrenzenden Bereich befinden. Ein Desinfektionsmittelspender ist im Laboratorium vorzuhalten.</w:t>
            </w:r>
          </w:p>
        </w:tc>
        <w:tc>
          <w:tcPr>
            <w:tcW w:w="1418" w:type="dxa"/>
          </w:tcPr>
          <w:p w14:paraId="2BA4892D" w14:textId="6E528ECE" w:rsidR="00102693" w:rsidRPr="00CB1CD7" w:rsidRDefault="00102693" w:rsidP="00E26750">
            <w:r w:rsidRPr="00CB1CD7">
              <w:t>TRBA 100, 5.3 (4)</w:t>
            </w:r>
          </w:p>
        </w:tc>
        <w:sdt>
          <w:sdtPr>
            <w:id w:val="1765339240"/>
            <w14:checkbox>
              <w14:checked w14:val="0"/>
              <w14:checkedState w14:val="2612" w14:font="MS Gothic"/>
              <w14:uncheckedState w14:val="2610" w14:font="MS Gothic"/>
            </w14:checkbox>
          </w:sdtPr>
          <w:sdtContent>
            <w:tc>
              <w:tcPr>
                <w:tcW w:w="567" w:type="dxa"/>
                <w:vAlign w:val="center"/>
              </w:tcPr>
              <w:p w14:paraId="622F431C" w14:textId="230E0FCC" w:rsidR="00102693" w:rsidRDefault="00102693" w:rsidP="00211683">
                <w:pPr>
                  <w:jc w:val="center"/>
                </w:pPr>
                <w:r>
                  <w:rPr>
                    <w:rFonts w:ascii="MS Gothic" w:eastAsia="MS Gothic" w:hAnsi="MS Gothic" w:hint="eastAsia"/>
                  </w:rPr>
                  <w:t>☐</w:t>
                </w:r>
              </w:p>
            </w:tc>
          </w:sdtContent>
        </w:sdt>
        <w:sdt>
          <w:sdtPr>
            <w:id w:val="-1342007462"/>
            <w14:checkbox>
              <w14:checked w14:val="0"/>
              <w14:checkedState w14:val="2612" w14:font="MS Gothic"/>
              <w14:uncheckedState w14:val="2610" w14:font="MS Gothic"/>
            </w14:checkbox>
          </w:sdtPr>
          <w:sdtContent>
            <w:tc>
              <w:tcPr>
                <w:tcW w:w="567" w:type="dxa"/>
                <w:vAlign w:val="center"/>
              </w:tcPr>
              <w:p w14:paraId="4A2E791D" w14:textId="52A7C54E" w:rsidR="00102693" w:rsidRDefault="00102693" w:rsidP="00211683">
                <w:pPr>
                  <w:jc w:val="center"/>
                </w:pPr>
                <w:r>
                  <w:rPr>
                    <w:rFonts w:ascii="MS Gothic" w:eastAsia="MS Gothic" w:hAnsi="MS Gothic" w:hint="eastAsia"/>
                  </w:rPr>
                  <w:t>☐</w:t>
                </w:r>
              </w:p>
            </w:tc>
          </w:sdtContent>
        </w:sdt>
        <w:sdt>
          <w:sdtPr>
            <w:id w:val="-1926950851"/>
            <w14:checkbox>
              <w14:checked w14:val="0"/>
              <w14:checkedState w14:val="2612" w14:font="MS Gothic"/>
              <w14:uncheckedState w14:val="2610" w14:font="MS Gothic"/>
            </w14:checkbox>
          </w:sdtPr>
          <w:sdtContent>
            <w:tc>
              <w:tcPr>
                <w:tcW w:w="567" w:type="dxa"/>
                <w:vAlign w:val="center"/>
              </w:tcPr>
              <w:p w14:paraId="73E9359C" w14:textId="1EED754A" w:rsidR="00102693" w:rsidRDefault="00102693" w:rsidP="00211683">
                <w:pPr>
                  <w:jc w:val="center"/>
                </w:pPr>
                <w:r>
                  <w:rPr>
                    <w:rFonts w:ascii="MS Gothic" w:eastAsia="MS Gothic" w:hAnsi="MS Gothic" w:hint="eastAsia"/>
                  </w:rPr>
                  <w:t>☐</w:t>
                </w:r>
              </w:p>
            </w:tc>
          </w:sdtContent>
        </w:sdt>
        <w:tc>
          <w:tcPr>
            <w:tcW w:w="3259" w:type="dxa"/>
          </w:tcPr>
          <w:p w14:paraId="54BA86F9" w14:textId="77777777" w:rsidR="00102693" w:rsidRPr="00861D90" w:rsidRDefault="00102693" w:rsidP="00E26750">
            <w:pPr>
              <w:jc w:val="center"/>
            </w:pPr>
          </w:p>
        </w:tc>
      </w:tr>
      <w:tr w:rsidR="00211683" w:rsidRPr="00CB1CD7" w14:paraId="4B464AD7" w14:textId="77777777" w:rsidTr="00CD0100">
        <w:trPr>
          <w:trHeight w:val="928"/>
        </w:trPr>
        <w:tc>
          <w:tcPr>
            <w:tcW w:w="1980" w:type="dxa"/>
          </w:tcPr>
          <w:p w14:paraId="76F68604" w14:textId="77777777" w:rsidR="00211683" w:rsidRPr="00CB1CD7" w:rsidRDefault="00211683" w:rsidP="00CD0100">
            <w:pPr>
              <w:pStyle w:val="Listenabsatz"/>
              <w:numPr>
                <w:ilvl w:val="1"/>
                <w:numId w:val="1"/>
              </w:numPr>
              <w:ind w:left="458"/>
            </w:pPr>
            <w:r w:rsidRPr="00CB1CD7">
              <w:t>Türen</w:t>
            </w:r>
          </w:p>
        </w:tc>
        <w:tc>
          <w:tcPr>
            <w:tcW w:w="5641" w:type="dxa"/>
          </w:tcPr>
          <w:p w14:paraId="6A804661" w14:textId="77777777" w:rsidR="00211683" w:rsidRPr="00CB1CD7" w:rsidRDefault="00211683" w:rsidP="00E26750">
            <w:pPr>
              <w:jc w:val="both"/>
            </w:pPr>
            <w:r w:rsidRPr="00CB1CD7">
              <w:t>Labortüren sollen nach außen aufschlagen und sollen aus Gründen des Personenschutzes Sichtfenster aufweisen [Ausnahmen bei Mess-, Lagerräumen möglich].</w:t>
            </w:r>
          </w:p>
        </w:tc>
        <w:tc>
          <w:tcPr>
            <w:tcW w:w="1418" w:type="dxa"/>
          </w:tcPr>
          <w:p w14:paraId="5618EC0D" w14:textId="77777777" w:rsidR="00211683" w:rsidRPr="00CB1CD7" w:rsidRDefault="00211683" w:rsidP="00E26750">
            <w:r w:rsidRPr="00CB1CD7">
              <w:t>TRBA 100, 5.3 (2)</w:t>
            </w:r>
          </w:p>
        </w:tc>
        <w:sdt>
          <w:sdtPr>
            <w:id w:val="-1777939161"/>
            <w14:checkbox>
              <w14:checked w14:val="0"/>
              <w14:checkedState w14:val="2612" w14:font="MS Gothic"/>
              <w14:uncheckedState w14:val="2610" w14:font="MS Gothic"/>
            </w14:checkbox>
          </w:sdtPr>
          <w:sdtEndPr/>
          <w:sdtContent>
            <w:tc>
              <w:tcPr>
                <w:tcW w:w="567" w:type="dxa"/>
                <w:vAlign w:val="center"/>
              </w:tcPr>
              <w:p w14:paraId="15248F62" w14:textId="77777777" w:rsidR="00211683" w:rsidRDefault="00DC3746" w:rsidP="00211683">
                <w:pPr>
                  <w:jc w:val="center"/>
                </w:pPr>
                <w:r>
                  <w:rPr>
                    <w:rFonts w:ascii="MS Gothic" w:eastAsia="MS Gothic" w:hAnsi="MS Gothic" w:hint="eastAsia"/>
                  </w:rPr>
                  <w:t>☐</w:t>
                </w:r>
              </w:p>
            </w:tc>
          </w:sdtContent>
        </w:sdt>
        <w:sdt>
          <w:sdtPr>
            <w:id w:val="-1233840941"/>
            <w14:checkbox>
              <w14:checked w14:val="0"/>
              <w14:checkedState w14:val="2612" w14:font="MS Gothic"/>
              <w14:uncheckedState w14:val="2610" w14:font="MS Gothic"/>
            </w14:checkbox>
          </w:sdtPr>
          <w:sdtEndPr/>
          <w:sdtContent>
            <w:tc>
              <w:tcPr>
                <w:tcW w:w="567" w:type="dxa"/>
                <w:vAlign w:val="center"/>
              </w:tcPr>
              <w:p w14:paraId="369D6237" w14:textId="77777777" w:rsidR="00211683" w:rsidRDefault="00211683" w:rsidP="00211683">
                <w:pPr>
                  <w:jc w:val="center"/>
                </w:pPr>
                <w:r>
                  <w:rPr>
                    <w:rFonts w:ascii="MS Gothic" w:eastAsia="MS Gothic" w:hAnsi="MS Gothic" w:hint="eastAsia"/>
                  </w:rPr>
                  <w:t>☐</w:t>
                </w:r>
              </w:p>
            </w:tc>
          </w:sdtContent>
        </w:sdt>
        <w:sdt>
          <w:sdtPr>
            <w:id w:val="-701713953"/>
            <w14:checkbox>
              <w14:checked w14:val="0"/>
              <w14:checkedState w14:val="2612" w14:font="MS Gothic"/>
              <w14:uncheckedState w14:val="2610" w14:font="MS Gothic"/>
            </w14:checkbox>
          </w:sdtPr>
          <w:sdtEndPr/>
          <w:sdtContent>
            <w:tc>
              <w:tcPr>
                <w:tcW w:w="567" w:type="dxa"/>
                <w:vAlign w:val="center"/>
              </w:tcPr>
              <w:p w14:paraId="4ECDB9FC"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4564E8DD" w14:textId="77777777" w:rsidR="00211683" w:rsidRPr="00861D90" w:rsidRDefault="00211683" w:rsidP="00E26750">
            <w:pPr>
              <w:jc w:val="center"/>
            </w:pPr>
          </w:p>
        </w:tc>
      </w:tr>
      <w:tr w:rsidR="00211683" w:rsidRPr="00CB1CD7" w14:paraId="525875A3" w14:textId="77777777" w:rsidTr="00CD0100">
        <w:trPr>
          <w:cantSplit/>
        </w:trPr>
        <w:tc>
          <w:tcPr>
            <w:tcW w:w="1980" w:type="dxa"/>
          </w:tcPr>
          <w:p w14:paraId="62B1EACD" w14:textId="77777777" w:rsidR="00211683" w:rsidRPr="00CB1CD7" w:rsidRDefault="00211683" w:rsidP="00CD0100">
            <w:pPr>
              <w:pStyle w:val="Listenabsatz"/>
              <w:numPr>
                <w:ilvl w:val="1"/>
                <w:numId w:val="1"/>
              </w:numPr>
              <w:ind w:left="458"/>
            </w:pPr>
            <w:r w:rsidRPr="00CB1CD7">
              <w:t>Notduschen</w:t>
            </w:r>
          </w:p>
        </w:tc>
        <w:tc>
          <w:tcPr>
            <w:tcW w:w="5641" w:type="dxa"/>
          </w:tcPr>
          <w:p w14:paraId="5E89AC5D" w14:textId="77777777" w:rsidR="00211683" w:rsidRPr="00CB1CD7" w:rsidRDefault="00211683" w:rsidP="00E26750">
            <w:pPr>
              <w:jc w:val="both"/>
            </w:pPr>
            <w:r w:rsidRPr="00CB1CD7">
              <w:t xml:space="preserve">Einrichtungen zum Spülen der Augen </w:t>
            </w:r>
            <w:r w:rsidRPr="00A15C2F">
              <w:rPr>
                <w:u w:val="single"/>
              </w:rPr>
              <w:t>müssen</w:t>
            </w:r>
            <w:r w:rsidRPr="00CB1CD7">
              <w:t xml:space="preserve"> vorhanden sein. Eine Körperdusche ist bei Umgang mit brennbaren/ätzenden Stoffen Pflicht. Notduschen müssen monatlich geprüft werden [Dokumentation!].</w:t>
            </w:r>
          </w:p>
        </w:tc>
        <w:tc>
          <w:tcPr>
            <w:tcW w:w="1418" w:type="dxa"/>
          </w:tcPr>
          <w:p w14:paraId="62A64938" w14:textId="77777777" w:rsidR="00211683" w:rsidRPr="00CB1CD7" w:rsidRDefault="00211683" w:rsidP="00E26750">
            <w:r w:rsidRPr="00CB1CD7">
              <w:t>TRBA 100, 5.3 (4); DGUV-I  213-850, 6.6</w:t>
            </w:r>
          </w:p>
        </w:tc>
        <w:sdt>
          <w:sdtPr>
            <w:id w:val="1009260536"/>
            <w14:checkbox>
              <w14:checked w14:val="0"/>
              <w14:checkedState w14:val="2612" w14:font="MS Gothic"/>
              <w14:uncheckedState w14:val="2610" w14:font="MS Gothic"/>
            </w14:checkbox>
          </w:sdtPr>
          <w:sdtEndPr/>
          <w:sdtContent>
            <w:tc>
              <w:tcPr>
                <w:tcW w:w="567" w:type="dxa"/>
                <w:vAlign w:val="center"/>
              </w:tcPr>
              <w:p w14:paraId="2053D697" w14:textId="77777777" w:rsidR="00211683" w:rsidRDefault="00211683" w:rsidP="00211683">
                <w:pPr>
                  <w:jc w:val="center"/>
                </w:pPr>
                <w:r>
                  <w:rPr>
                    <w:rFonts w:ascii="MS Gothic" w:eastAsia="MS Gothic" w:hAnsi="MS Gothic" w:hint="eastAsia"/>
                  </w:rPr>
                  <w:t>☐</w:t>
                </w:r>
              </w:p>
            </w:tc>
          </w:sdtContent>
        </w:sdt>
        <w:sdt>
          <w:sdtPr>
            <w:id w:val="-1006202180"/>
            <w14:checkbox>
              <w14:checked w14:val="0"/>
              <w14:checkedState w14:val="2612" w14:font="MS Gothic"/>
              <w14:uncheckedState w14:val="2610" w14:font="MS Gothic"/>
            </w14:checkbox>
          </w:sdtPr>
          <w:sdtEndPr/>
          <w:sdtContent>
            <w:tc>
              <w:tcPr>
                <w:tcW w:w="567" w:type="dxa"/>
                <w:vAlign w:val="center"/>
              </w:tcPr>
              <w:p w14:paraId="4B5C3240" w14:textId="77777777" w:rsidR="00211683" w:rsidRDefault="00211683" w:rsidP="00211683">
                <w:pPr>
                  <w:jc w:val="center"/>
                </w:pPr>
                <w:r>
                  <w:rPr>
                    <w:rFonts w:ascii="MS Gothic" w:eastAsia="MS Gothic" w:hAnsi="MS Gothic" w:hint="eastAsia"/>
                  </w:rPr>
                  <w:t>☐</w:t>
                </w:r>
              </w:p>
            </w:tc>
          </w:sdtContent>
        </w:sdt>
        <w:sdt>
          <w:sdtPr>
            <w:id w:val="-1187912204"/>
            <w14:checkbox>
              <w14:checked w14:val="0"/>
              <w14:checkedState w14:val="2612" w14:font="MS Gothic"/>
              <w14:uncheckedState w14:val="2610" w14:font="MS Gothic"/>
            </w14:checkbox>
          </w:sdtPr>
          <w:sdtEndPr/>
          <w:sdtContent>
            <w:tc>
              <w:tcPr>
                <w:tcW w:w="567" w:type="dxa"/>
                <w:vAlign w:val="center"/>
              </w:tcPr>
              <w:p w14:paraId="2B00A176"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523EE809" w14:textId="77777777" w:rsidR="00211683" w:rsidRPr="00861D90" w:rsidRDefault="00211683" w:rsidP="00E26750">
            <w:pPr>
              <w:jc w:val="center"/>
            </w:pPr>
          </w:p>
        </w:tc>
      </w:tr>
      <w:tr w:rsidR="00211683" w:rsidRPr="00CB1CD7" w14:paraId="58CC7BDC" w14:textId="77777777" w:rsidTr="00CD0100">
        <w:tc>
          <w:tcPr>
            <w:tcW w:w="1980" w:type="dxa"/>
          </w:tcPr>
          <w:p w14:paraId="0DF1C2A5" w14:textId="77777777" w:rsidR="00211683" w:rsidRPr="00CB1CD7" w:rsidRDefault="00211683" w:rsidP="00CD0100">
            <w:pPr>
              <w:pStyle w:val="Listenabsatz"/>
              <w:numPr>
                <w:ilvl w:val="1"/>
                <w:numId w:val="1"/>
              </w:numPr>
              <w:ind w:left="458"/>
            </w:pPr>
            <w:r w:rsidRPr="00CB1CD7">
              <w:t>Autoklav</w:t>
            </w:r>
          </w:p>
        </w:tc>
        <w:tc>
          <w:tcPr>
            <w:tcW w:w="5641" w:type="dxa"/>
          </w:tcPr>
          <w:p w14:paraId="0EC4FBE0" w14:textId="77777777" w:rsidR="00211683" w:rsidRPr="00CB1CD7" w:rsidRDefault="006A4834" w:rsidP="006A4834">
            <w:pPr>
              <w:jc w:val="both"/>
            </w:pPr>
            <w:r>
              <w:t>Das Gerät muss eine Abluftfiltration (siehe 2.11), fraktioniertes Vorvakuum und eine Kondensat Inaktivierung besitzen!</w:t>
            </w:r>
            <w:r w:rsidR="00211683" w:rsidRPr="00CB1CD7">
              <w:t xml:space="preserve"> [Achtung: wiederkehrende Prüfpflichten einhalten].</w:t>
            </w:r>
          </w:p>
        </w:tc>
        <w:tc>
          <w:tcPr>
            <w:tcW w:w="1418" w:type="dxa"/>
          </w:tcPr>
          <w:p w14:paraId="35FF823D" w14:textId="77777777" w:rsidR="00211683" w:rsidRPr="00CB1CD7" w:rsidRDefault="00211683" w:rsidP="00E26750">
            <w:pPr>
              <w:jc w:val="both"/>
            </w:pPr>
            <w:r w:rsidRPr="00CB1CD7">
              <w:t>TRBA 100, 5.3 (7); §15 BetrSichV</w:t>
            </w:r>
          </w:p>
        </w:tc>
        <w:sdt>
          <w:sdtPr>
            <w:id w:val="-1299829811"/>
            <w14:checkbox>
              <w14:checked w14:val="0"/>
              <w14:checkedState w14:val="2612" w14:font="MS Gothic"/>
              <w14:uncheckedState w14:val="2610" w14:font="MS Gothic"/>
            </w14:checkbox>
          </w:sdtPr>
          <w:sdtEndPr/>
          <w:sdtContent>
            <w:tc>
              <w:tcPr>
                <w:tcW w:w="567" w:type="dxa"/>
                <w:vAlign w:val="center"/>
              </w:tcPr>
              <w:p w14:paraId="26342B0A" w14:textId="77777777" w:rsidR="00211683" w:rsidRDefault="00211683" w:rsidP="00211683">
                <w:pPr>
                  <w:jc w:val="center"/>
                </w:pPr>
                <w:r>
                  <w:rPr>
                    <w:rFonts w:ascii="MS Gothic" w:eastAsia="MS Gothic" w:hAnsi="MS Gothic" w:hint="eastAsia"/>
                  </w:rPr>
                  <w:t>☐</w:t>
                </w:r>
              </w:p>
            </w:tc>
          </w:sdtContent>
        </w:sdt>
        <w:sdt>
          <w:sdtPr>
            <w:id w:val="-1669390250"/>
            <w14:checkbox>
              <w14:checked w14:val="0"/>
              <w14:checkedState w14:val="2612" w14:font="MS Gothic"/>
              <w14:uncheckedState w14:val="2610" w14:font="MS Gothic"/>
            </w14:checkbox>
          </w:sdtPr>
          <w:sdtEndPr/>
          <w:sdtContent>
            <w:tc>
              <w:tcPr>
                <w:tcW w:w="567" w:type="dxa"/>
                <w:vAlign w:val="center"/>
              </w:tcPr>
              <w:p w14:paraId="3A63E00C" w14:textId="77777777" w:rsidR="00211683" w:rsidRDefault="00211683" w:rsidP="00211683">
                <w:pPr>
                  <w:jc w:val="center"/>
                </w:pPr>
                <w:r>
                  <w:rPr>
                    <w:rFonts w:ascii="MS Gothic" w:eastAsia="MS Gothic" w:hAnsi="MS Gothic" w:hint="eastAsia"/>
                  </w:rPr>
                  <w:t>☐</w:t>
                </w:r>
              </w:p>
            </w:tc>
          </w:sdtContent>
        </w:sdt>
        <w:sdt>
          <w:sdtPr>
            <w:id w:val="-367994690"/>
            <w14:checkbox>
              <w14:checked w14:val="0"/>
              <w14:checkedState w14:val="2612" w14:font="MS Gothic"/>
              <w14:uncheckedState w14:val="2610" w14:font="MS Gothic"/>
            </w14:checkbox>
          </w:sdtPr>
          <w:sdtEndPr/>
          <w:sdtContent>
            <w:tc>
              <w:tcPr>
                <w:tcW w:w="567" w:type="dxa"/>
                <w:vAlign w:val="center"/>
              </w:tcPr>
              <w:p w14:paraId="2496F5CB"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4E602085" w14:textId="77777777" w:rsidR="00211683" w:rsidRPr="00861D90" w:rsidRDefault="00211683" w:rsidP="00E26750">
            <w:pPr>
              <w:jc w:val="center"/>
            </w:pPr>
          </w:p>
        </w:tc>
      </w:tr>
      <w:tr w:rsidR="00211683" w:rsidRPr="00CB1CD7" w14:paraId="53D23169" w14:textId="77777777" w:rsidTr="00CD0100">
        <w:tc>
          <w:tcPr>
            <w:tcW w:w="1980" w:type="dxa"/>
            <w:vMerge w:val="restart"/>
          </w:tcPr>
          <w:p w14:paraId="37B89631" w14:textId="77777777" w:rsidR="00211683" w:rsidRPr="00CB1CD7" w:rsidRDefault="00211683" w:rsidP="00CD0100">
            <w:pPr>
              <w:pStyle w:val="Listenabsatz"/>
              <w:numPr>
                <w:ilvl w:val="1"/>
                <w:numId w:val="1"/>
              </w:numPr>
              <w:ind w:left="458"/>
            </w:pPr>
            <w:r w:rsidRPr="00CB1CD7">
              <w:lastRenderedPageBreak/>
              <w:t>Aerosole</w:t>
            </w:r>
          </w:p>
        </w:tc>
        <w:tc>
          <w:tcPr>
            <w:tcW w:w="5641" w:type="dxa"/>
          </w:tcPr>
          <w:p w14:paraId="3F66A586" w14:textId="77777777" w:rsidR="00211683" w:rsidRPr="00CB1CD7" w:rsidRDefault="00211683" w:rsidP="005F294C">
            <w:pPr>
              <w:jc w:val="both"/>
            </w:pPr>
            <w:r w:rsidRPr="00CB1CD7">
              <w:t xml:space="preserve">Tätigkeiten, bei denen mit einer Gefährdung durch Bioaerosole zu rechnen ist, </w:t>
            </w:r>
            <w:r w:rsidRPr="00DC1759">
              <w:rPr>
                <w:u w:val="single"/>
              </w:rPr>
              <w:t>müssen</w:t>
            </w:r>
            <w:r w:rsidRPr="00CB1CD7">
              <w:t xml:space="preserve"> in einer mikrobiologischen Sicherheitswerkbank (MSW) oder in einer hinsichtlich des Personenschutzes vergleichbaren Einrichtung (z.B. Abzug mit </w:t>
            </w:r>
            <w:r>
              <w:t>HEPA</w:t>
            </w:r>
            <w:r w:rsidRPr="00CB1CD7">
              <w:t>-Filter) durchgeführt werden.</w:t>
            </w:r>
          </w:p>
        </w:tc>
        <w:tc>
          <w:tcPr>
            <w:tcW w:w="1418" w:type="dxa"/>
          </w:tcPr>
          <w:p w14:paraId="5FE8E9B5" w14:textId="77777777" w:rsidR="00211683" w:rsidRPr="00CB1CD7" w:rsidRDefault="00211683" w:rsidP="00E26750">
            <w:pPr>
              <w:jc w:val="both"/>
            </w:pPr>
            <w:r w:rsidRPr="00CB1CD7">
              <w:t>TRBA 100, 5.3 (5)</w:t>
            </w:r>
          </w:p>
        </w:tc>
        <w:sdt>
          <w:sdtPr>
            <w:id w:val="-1031179898"/>
            <w14:checkbox>
              <w14:checked w14:val="0"/>
              <w14:checkedState w14:val="2612" w14:font="MS Gothic"/>
              <w14:uncheckedState w14:val="2610" w14:font="MS Gothic"/>
            </w14:checkbox>
          </w:sdtPr>
          <w:sdtEndPr/>
          <w:sdtContent>
            <w:tc>
              <w:tcPr>
                <w:tcW w:w="567" w:type="dxa"/>
                <w:vAlign w:val="center"/>
              </w:tcPr>
              <w:p w14:paraId="055AB167" w14:textId="77777777" w:rsidR="00211683" w:rsidRDefault="00211683" w:rsidP="00211683">
                <w:pPr>
                  <w:jc w:val="center"/>
                </w:pPr>
                <w:r>
                  <w:rPr>
                    <w:rFonts w:ascii="MS Gothic" w:eastAsia="MS Gothic" w:hAnsi="MS Gothic" w:hint="eastAsia"/>
                  </w:rPr>
                  <w:t>☐</w:t>
                </w:r>
              </w:p>
            </w:tc>
          </w:sdtContent>
        </w:sdt>
        <w:sdt>
          <w:sdtPr>
            <w:id w:val="1868478998"/>
            <w14:checkbox>
              <w14:checked w14:val="0"/>
              <w14:checkedState w14:val="2612" w14:font="MS Gothic"/>
              <w14:uncheckedState w14:val="2610" w14:font="MS Gothic"/>
            </w14:checkbox>
          </w:sdtPr>
          <w:sdtEndPr/>
          <w:sdtContent>
            <w:tc>
              <w:tcPr>
                <w:tcW w:w="567" w:type="dxa"/>
                <w:vAlign w:val="center"/>
              </w:tcPr>
              <w:p w14:paraId="03547E6F" w14:textId="77777777" w:rsidR="00211683" w:rsidRDefault="00211683" w:rsidP="00211683">
                <w:pPr>
                  <w:jc w:val="center"/>
                </w:pPr>
                <w:r>
                  <w:rPr>
                    <w:rFonts w:ascii="MS Gothic" w:eastAsia="MS Gothic" w:hAnsi="MS Gothic" w:hint="eastAsia"/>
                  </w:rPr>
                  <w:t>☐</w:t>
                </w:r>
              </w:p>
            </w:tc>
          </w:sdtContent>
        </w:sdt>
        <w:sdt>
          <w:sdtPr>
            <w:id w:val="1402634257"/>
            <w14:checkbox>
              <w14:checked w14:val="0"/>
              <w14:checkedState w14:val="2612" w14:font="MS Gothic"/>
              <w14:uncheckedState w14:val="2610" w14:font="MS Gothic"/>
            </w14:checkbox>
          </w:sdtPr>
          <w:sdtEndPr/>
          <w:sdtContent>
            <w:tc>
              <w:tcPr>
                <w:tcW w:w="567" w:type="dxa"/>
                <w:vAlign w:val="center"/>
              </w:tcPr>
              <w:p w14:paraId="5B831CC6"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4FF3B777" w14:textId="77777777" w:rsidR="00211683" w:rsidRPr="00861D90" w:rsidRDefault="00211683" w:rsidP="00E26750">
            <w:pPr>
              <w:jc w:val="center"/>
            </w:pPr>
          </w:p>
        </w:tc>
      </w:tr>
      <w:tr w:rsidR="00211683" w:rsidRPr="00CB1CD7" w14:paraId="1DD4B236" w14:textId="77777777" w:rsidTr="00CD0100">
        <w:tc>
          <w:tcPr>
            <w:tcW w:w="1980" w:type="dxa"/>
            <w:vMerge/>
          </w:tcPr>
          <w:p w14:paraId="41BE798A" w14:textId="77777777" w:rsidR="00211683" w:rsidRPr="00CB1CD7" w:rsidRDefault="00211683" w:rsidP="00E26750"/>
        </w:tc>
        <w:tc>
          <w:tcPr>
            <w:tcW w:w="5641" w:type="dxa"/>
          </w:tcPr>
          <w:p w14:paraId="4349684B" w14:textId="77777777" w:rsidR="00211683" w:rsidRPr="00CB1CD7" w:rsidRDefault="00211683" w:rsidP="00E26750">
            <w:pPr>
              <w:jc w:val="both"/>
            </w:pPr>
            <w:r w:rsidRPr="00CB1CD7">
              <w:t>Generell sind Geräte zu verwenden, die keine Bioaerosole freisetzen (z.B. Zentrifugen mit abgedichteten Rotoren oder Zentrifugenbechern).</w:t>
            </w:r>
          </w:p>
        </w:tc>
        <w:tc>
          <w:tcPr>
            <w:tcW w:w="1418" w:type="dxa"/>
          </w:tcPr>
          <w:p w14:paraId="7232D1D2" w14:textId="77777777" w:rsidR="00211683" w:rsidRPr="00CB1CD7" w:rsidRDefault="00211683" w:rsidP="00E26750">
            <w:pPr>
              <w:jc w:val="both"/>
            </w:pPr>
            <w:r w:rsidRPr="00CB1CD7">
              <w:t>TRBA 100, 5.3 (6)</w:t>
            </w:r>
          </w:p>
        </w:tc>
        <w:sdt>
          <w:sdtPr>
            <w:id w:val="538242841"/>
            <w14:checkbox>
              <w14:checked w14:val="0"/>
              <w14:checkedState w14:val="2612" w14:font="MS Gothic"/>
              <w14:uncheckedState w14:val="2610" w14:font="MS Gothic"/>
            </w14:checkbox>
          </w:sdtPr>
          <w:sdtEndPr/>
          <w:sdtContent>
            <w:tc>
              <w:tcPr>
                <w:tcW w:w="567" w:type="dxa"/>
                <w:vAlign w:val="center"/>
              </w:tcPr>
              <w:p w14:paraId="22A8578F" w14:textId="77777777" w:rsidR="00211683" w:rsidRDefault="00211683" w:rsidP="00211683">
                <w:pPr>
                  <w:jc w:val="center"/>
                </w:pPr>
                <w:r>
                  <w:rPr>
                    <w:rFonts w:ascii="MS Gothic" w:eastAsia="MS Gothic" w:hAnsi="MS Gothic" w:hint="eastAsia"/>
                  </w:rPr>
                  <w:t>☐</w:t>
                </w:r>
              </w:p>
            </w:tc>
          </w:sdtContent>
        </w:sdt>
        <w:sdt>
          <w:sdtPr>
            <w:id w:val="1114941291"/>
            <w14:checkbox>
              <w14:checked w14:val="0"/>
              <w14:checkedState w14:val="2612" w14:font="MS Gothic"/>
              <w14:uncheckedState w14:val="2610" w14:font="MS Gothic"/>
            </w14:checkbox>
          </w:sdtPr>
          <w:sdtEndPr/>
          <w:sdtContent>
            <w:tc>
              <w:tcPr>
                <w:tcW w:w="567" w:type="dxa"/>
                <w:vAlign w:val="center"/>
              </w:tcPr>
              <w:p w14:paraId="2F33BC93" w14:textId="77777777" w:rsidR="00211683" w:rsidRDefault="00211683" w:rsidP="00211683">
                <w:pPr>
                  <w:jc w:val="center"/>
                </w:pPr>
                <w:r>
                  <w:rPr>
                    <w:rFonts w:ascii="MS Gothic" w:eastAsia="MS Gothic" w:hAnsi="MS Gothic" w:hint="eastAsia"/>
                  </w:rPr>
                  <w:t>☐</w:t>
                </w:r>
              </w:p>
            </w:tc>
          </w:sdtContent>
        </w:sdt>
        <w:sdt>
          <w:sdtPr>
            <w:id w:val="1604534598"/>
            <w14:checkbox>
              <w14:checked w14:val="0"/>
              <w14:checkedState w14:val="2612" w14:font="MS Gothic"/>
              <w14:uncheckedState w14:val="2610" w14:font="MS Gothic"/>
            </w14:checkbox>
          </w:sdtPr>
          <w:sdtEndPr/>
          <w:sdtContent>
            <w:tc>
              <w:tcPr>
                <w:tcW w:w="567" w:type="dxa"/>
                <w:vAlign w:val="center"/>
              </w:tcPr>
              <w:p w14:paraId="6ED63302"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2A6FCB3D" w14:textId="77777777" w:rsidR="00211683" w:rsidRPr="00861D90" w:rsidRDefault="00211683" w:rsidP="00E26750">
            <w:pPr>
              <w:jc w:val="center"/>
            </w:pPr>
          </w:p>
        </w:tc>
      </w:tr>
      <w:tr w:rsidR="00211683" w:rsidRPr="00CB1CD7" w14:paraId="0D9C1231" w14:textId="77777777" w:rsidTr="00CD0100">
        <w:tc>
          <w:tcPr>
            <w:tcW w:w="1980" w:type="dxa"/>
          </w:tcPr>
          <w:p w14:paraId="03C58D4C" w14:textId="77777777" w:rsidR="00211683" w:rsidRPr="00CB1CD7" w:rsidRDefault="00211683" w:rsidP="00CD0100">
            <w:pPr>
              <w:pStyle w:val="Listenabsatz"/>
              <w:numPr>
                <w:ilvl w:val="1"/>
                <w:numId w:val="1"/>
              </w:numPr>
              <w:ind w:left="458" w:hanging="392"/>
            </w:pPr>
            <w:r w:rsidRPr="00CB1CD7">
              <w:t>Stellplatz Geräte</w:t>
            </w:r>
          </w:p>
        </w:tc>
        <w:tc>
          <w:tcPr>
            <w:tcW w:w="5641" w:type="dxa"/>
          </w:tcPr>
          <w:p w14:paraId="4CCA619E" w14:textId="77777777" w:rsidR="00211683" w:rsidRPr="00CB1CD7" w:rsidRDefault="00211683" w:rsidP="00E26750">
            <w:pPr>
              <w:jc w:val="both"/>
            </w:pPr>
            <w:r w:rsidRPr="00CB1CD7">
              <w:t>Aufstellung von Geräten nur in Räumen, die ebenfalls den baulichen Anforderungen entsprechen. Keine Aufstellung in Fluren, Treppenhäusern usw.</w:t>
            </w:r>
          </w:p>
        </w:tc>
        <w:tc>
          <w:tcPr>
            <w:tcW w:w="1418" w:type="dxa"/>
          </w:tcPr>
          <w:p w14:paraId="0B0FCF68" w14:textId="77777777" w:rsidR="00211683" w:rsidRPr="00CB1CD7" w:rsidRDefault="00211683" w:rsidP="00E26750"/>
        </w:tc>
        <w:sdt>
          <w:sdtPr>
            <w:id w:val="-256290804"/>
            <w14:checkbox>
              <w14:checked w14:val="0"/>
              <w14:checkedState w14:val="2612" w14:font="MS Gothic"/>
              <w14:uncheckedState w14:val="2610" w14:font="MS Gothic"/>
            </w14:checkbox>
          </w:sdtPr>
          <w:sdtEndPr/>
          <w:sdtContent>
            <w:tc>
              <w:tcPr>
                <w:tcW w:w="567" w:type="dxa"/>
                <w:vAlign w:val="center"/>
              </w:tcPr>
              <w:p w14:paraId="7894768F" w14:textId="77777777" w:rsidR="00211683" w:rsidRDefault="00211683" w:rsidP="00211683">
                <w:pPr>
                  <w:jc w:val="center"/>
                </w:pPr>
                <w:r>
                  <w:rPr>
                    <w:rFonts w:ascii="MS Gothic" w:eastAsia="MS Gothic" w:hAnsi="MS Gothic" w:hint="eastAsia"/>
                  </w:rPr>
                  <w:t>☐</w:t>
                </w:r>
              </w:p>
            </w:tc>
          </w:sdtContent>
        </w:sdt>
        <w:sdt>
          <w:sdtPr>
            <w:id w:val="891998853"/>
            <w14:checkbox>
              <w14:checked w14:val="0"/>
              <w14:checkedState w14:val="2612" w14:font="MS Gothic"/>
              <w14:uncheckedState w14:val="2610" w14:font="MS Gothic"/>
            </w14:checkbox>
          </w:sdtPr>
          <w:sdtEndPr/>
          <w:sdtContent>
            <w:tc>
              <w:tcPr>
                <w:tcW w:w="567" w:type="dxa"/>
                <w:vAlign w:val="center"/>
              </w:tcPr>
              <w:p w14:paraId="72954B79" w14:textId="77777777" w:rsidR="00211683" w:rsidRDefault="00211683" w:rsidP="00211683">
                <w:pPr>
                  <w:jc w:val="center"/>
                </w:pPr>
                <w:r>
                  <w:rPr>
                    <w:rFonts w:ascii="MS Gothic" w:eastAsia="MS Gothic" w:hAnsi="MS Gothic" w:hint="eastAsia"/>
                  </w:rPr>
                  <w:t>☐</w:t>
                </w:r>
              </w:p>
            </w:tc>
          </w:sdtContent>
        </w:sdt>
        <w:sdt>
          <w:sdtPr>
            <w:id w:val="-1787728706"/>
            <w14:checkbox>
              <w14:checked w14:val="0"/>
              <w14:checkedState w14:val="2612" w14:font="MS Gothic"/>
              <w14:uncheckedState w14:val="2610" w14:font="MS Gothic"/>
            </w14:checkbox>
          </w:sdtPr>
          <w:sdtEndPr/>
          <w:sdtContent>
            <w:tc>
              <w:tcPr>
                <w:tcW w:w="567" w:type="dxa"/>
                <w:vAlign w:val="center"/>
              </w:tcPr>
              <w:p w14:paraId="647D6727"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39EB294C" w14:textId="77777777" w:rsidR="00211683" w:rsidRPr="00861D90" w:rsidRDefault="00211683" w:rsidP="00E26750">
            <w:pPr>
              <w:jc w:val="center"/>
            </w:pPr>
          </w:p>
        </w:tc>
      </w:tr>
      <w:tr w:rsidR="00211683" w:rsidRPr="00CB1CD7" w14:paraId="7A89AC9E" w14:textId="77777777" w:rsidTr="00CD0100">
        <w:trPr>
          <w:cantSplit/>
        </w:trPr>
        <w:tc>
          <w:tcPr>
            <w:tcW w:w="1980" w:type="dxa"/>
          </w:tcPr>
          <w:p w14:paraId="3772A384" w14:textId="77777777" w:rsidR="00211683" w:rsidRPr="00CB1CD7" w:rsidRDefault="00211683" w:rsidP="00CD0100">
            <w:pPr>
              <w:pStyle w:val="Listenabsatz"/>
              <w:numPr>
                <w:ilvl w:val="1"/>
                <w:numId w:val="1"/>
              </w:numPr>
              <w:ind w:left="317" w:hanging="283"/>
            </w:pPr>
            <w:r w:rsidRPr="00CB1CD7">
              <w:t>Prozessabluft</w:t>
            </w:r>
          </w:p>
        </w:tc>
        <w:tc>
          <w:tcPr>
            <w:tcW w:w="5641" w:type="dxa"/>
          </w:tcPr>
          <w:p w14:paraId="43F7BDE5" w14:textId="77777777" w:rsidR="00211683" w:rsidRPr="00CB1CD7" w:rsidRDefault="00211683" w:rsidP="00E26750">
            <w:pPr>
              <w:jc w:val="both"/>
            </w:pPr>
            <w:r w:rsidRPr="00CB1CD7">
              <w:t xml:space="preserve">Kontaminierte Prozessabluft darf nicht unbehandelt in den Arbeitsbereich abgegeben werden. Sie muss durch geeignete Verfahren wie Filtrierung oder thermische Nachbehandlung dekontaminiert werden. </w:t>
            </w:r>
            <w:r w:rsidRPr="00CB1CD7">
              <w:rPr>
                <w:i/>
                <w:sz w:val="18"/>
                <w:szCs w:val="18"/>
              </w:rPr>
              <w:t>Hinweis: Dies gilt z.B. für die Abluft von Autoklaven, Pumpen oder Bioreaktoren. Zur Behandlung der Abluft von Autoklaven siehe auch Stellungnahme des ABAS.</w:t>
            </w:r>
          </w:p>
        </w:tc>
        <w:tc>
          <w:tcPr>
            <w:tcW w:w="1418" w:type="dxa"/>
          </w:tcPr>
          <w:p w14:paraId="123CC3D9" w14:textId="77777777" w:rsidR="00211683" w:rsidRPr="00CB1CD7" w:rsidRDefault="00211683" w:rsidP="00E26750">
            <w:pPr>
              <w:jc w:val="both"/>
            </w:pPr>
            <w:r w:rsidRPr="00CB1CD7">
              <w:t>TRBA 100, 5.3 (8)</w:t>
            </w:r>
          </w:p>
        </w:tc>
        <w:sdt>
          <w:sdtPr>
            <w:id w:val="-1312251340"/>
            <w14:checkbox>
              <w14:checked w14:val="0"/>
              <w14:checkedState w14:val="2612" w14:font="MS Gothic"/>
              <w14:uncheckedState w14:val="2610" w14:font="MS Gothic"/>
            </w14:checkbox>
          </w:sdtPr>
          <w:sdtEndPr/>
          <w:sdtContent>
            <w:tc>
              <w:tcPr>
                <w:tcW w:w="567" w:type="dxa"/>
                <w:vAlign w:val="center"/>
              </w:tcPr>
              <w:p w14:paraId="40322483" w14:textId="77777777" w:rsidR="00211683" w:rsidRDefault="00211683" w:rsidP="00211683">
                <w:pPr>
                  <w:jc w:val="center"/>
                </w:pPr>
                <w:r>
                  <w:rPr>
                    <w:rFonts w:ascii="MS Gothic" w:eastAsia="MS Gothic" w:hAnsi="MS Gothic" w:hint="eastAsia"/>
                  </w:rPr>
                  <w:t>☐</w:t>
                </w:r>
              </w:p>
            </w:tc>
          </w:sdtContent>
        </w:sdt>
        <w:sdt>
          <w:sdtPr>
            <w:id w:val="155737621"/>
            <w14:checkbox>
              <w14:checked w14:val="0"/>
              <w14:checkedState w14:val="2612" w14:font="MS Gothic"/>
              <w14:uncheckedState w14:val="2610" w14:font="MS Gothic"/>
            </w14:checkbox>
          </w:sdtPr>
          <w:sdtEndPr/>
          <w:sdtContent>
            <w:tc>
              <w:tcPr>
                <w:tcW w:w="567" w:type="dxa"/>
                <w:vAlign w:val="center"/>
              </w:tcPr>
              <w:p w14:paraId="5EAF96C5" w14:textId="77777777" w:rsidR="00211683" w:rsidRDefault="00211683" w:rsidP="00211683">
                <w:pPr>
                  <w:jc w:val="center"/>
                </w:pPr>
                <w:r>
                  <w:rPr>
                    <w:rFonts w:ascii="MS Gothic" w:eastAsia="MS Gothic" w:hAnsi="MS Gothic" w:hint="eastAsia"/>
                  </w:rPr>
                  <w:t>☐</w:t>
                </w:r>
              </w:p>
            </w:tc>
          </w:sdtContent>
        </w:sdt>
        <w:sdt>
          <w:sdtPr>
            <w:id w:val="2070062990"/>
            <w14:checkbox>
              <w14:checked w14:val="0"/>
              <w14:checkedState w14:val="2612" w14:font="MS Gothic"/>
              <w14:uncheckedState w14:val="2610" w14:font="MS Gothic"/>
            </w14:checkbox>
          </w:sdtPr>
          <w:sdtEndPr/>
          <w:sdtContent>
            <w:tc>
              <w:tcPr>
                <w:tcW w:w="567" w:type="dxa"/>
                <w:vAlign w:val="center"/>
              </w:tcPr>
              <w:p w14:paraId="1137F3F6"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2A96E987" w14:textId="77777777" w:rsidR="00211683" w:rsidRPr="00861D90" w:rsidRDefault="00211683" w:rsidP="00E26750">
            <w:pPr>
              <w:jc w:val="center"/>
            </w:pPr>
          </w:p>
        </w:tc>
      </w:tr>
      <w:tr w:rsidR="00211683" w:rsidRPr="00CB1CD7" w14:paraId="599BD8FE" w14:textId="77777777" w:rsidTr="00211683">
        <w:tc>
          <w:tcPr>
            <w:tcW w:w="10740" w:type="dxa"/>
            <w:gridSpan w:val="6"/>
            <w:shd w:val="clear" w:color="auto" w:fill="D9D9D9" w:themeFill="background1" w:themeFillShade="D9"/>
          </w:tcPr>
          <w:p w14:paraId="0EB01BAB" w14:textId="77777777" w:rsidR="00211683" w:rsidRPr="00CB1CD7" w:rsidRDefault="00211683" w:rsidP="00852095">
            <w:pPr>
              <w:pStyle w:val="Listenabsatz"/>
              <w:numPr>
                <w:ilvl w:val="0"/>
                <w:numId w:val="1"/>
              </w:numPr>
              <w:jc w:val="both"/>
              <w:rPr>
                <w:b/>
              </w:rPr>
            </w:pPr>
            <w:r w:rsidRPr="00CB1CD7">
              <w:rPr>
                <w:b/>
              </w:rPr>
              <w:t xml:space="preserve">Organisatorische </w:t>
            </w:r>
            <w:r>
              <w:rPr>
                <w:b/>
              </w:rPr>
              <w:t>Schutzmaßnahmen</w:t>
            </w:r>
          </w:p>
        </w:tc>
        <w:tc>
          <w:tcPr>
            <w:tcW w:w="3259" w:type="dxa"/>
            <w:shd w:val="clear" w:color="auto" w:fill="D9D9D9" w:themeFill="background1" w:themeFillShade="D9"/>
          </w:tcPr>
          <w:p w14:paraId="152222C0" w14:textId="77777777" w:rsidR="00211683" w:rsidRPr="00861D90" w:rsidRDefault="00211683" w:rsidP="00E26750">
            <w:pPr>
              <w:jc w:val="both"/>
              <w:rPr>
                <w:vanish/>
              </w:rPr>
            </w:pPr>
          </w:p>
        </w:tc>
      </w:tr>
      <w:tr w:rsidR="00E31C83" w:rsidRPr="00CB1CD7" w14:paraId="7AA51439" w14:textId="77777777" w:rsidTr="00CD0100">
        <w:tc>
          <w:tcPr>
            <w:tcW w:w="1980" w:type="dxa"/>
            <w:vMerge w:val="restart"/>
          </w:tcPr>
          <w:p w14:paraId="4AE07FC9" w14:textId="77777777" w:rsidR="00E31C83" w:rsidRPr="00E358C1" w:rsidRDefault="00E31C83" w:rsidP="00CD0100">
            <w:pPr>
              <w:pStyle w:val="Listenabsatz"/>
              <w:numPr>
                <w:ilvl w:val="1"/>
                <w:numId w:val="1"/>
              </w:numPr>
              <w:ind w:left="458"/>
              <w:rPr>
                <w:b/>
              </w:rPr>
            </w:pPr>
            <w:r w:rsidRPr="00E358C1">
              <w:rPr>
                <w:b/>
              </w:rPr>
              <w:t>Betriebs-anweisungen</w:t>
            </w:r>
          </w:p>
        </w:tc>
        <w:tc>
          <w:tcPr>
            <w:tcW w:w="5641" w:type="dxa"/>
          </w:tcPr>
          <w:p w14:paraId="219310FF" w14:textId="77777777" w:rsidR="00E31C83" w:rsidRPr="00CB1CD7" w:rsidRDefault="00E31C83" w:rsidP="00E26750">
            <w:pPr>
              <w:jc w:val="both"/>
            </w:pPr>
            <w:r w:rsidRPr="00642210">
              <w:rPr>
                <w:color w:val="000000" w:themeColor="text1"/>
              </w:rPr>
              <w:t xml:space="preserve">Die </w:t>
            </w:r>
            <w:r>
              <w:rPr>
                <w:color w:val="000000" w:themeColor="text1"/>
              </w:rPr>
              <w:t xml:space="preserve">auftretenden Gefährdungen, dadurch </w:t>
            </w:r>
            <w:r w:rsidRPr="00642210">
              <w:rPr>
                <w:color w:val="000000" w:themeColor="text1"/>
              </w:rPr>
              <w:t xml:space="preserve">erforderlichen Schutzmaßnahmen sowie Anweisungen </w:t>
            </w:r>
            <w:r>
              <w:rPr>
                <w:color w:val="000000" w:themeColor="text1"/>
              </w:rPr>
              <w:t>über das Verhalten bei Unfällen, zur Ersten Hilfe und Entsorgung sind in einer</w:t>
            </w:r>
            <w:r w:rsidR="003533C8">
              <w:rPr>
                <w:color w:val="000000" w:themeColor="text1"/>
              </w:rPr>
              <w:t xml:space="preserve"> Biostoff-Betriebsanweisung </w:t>
            </w:r>
            <w:r w:rsidRPr="00642210">
              <w:rPr>
                <w:color w:val="000000" w:themeColor="text1"/>
              </w:rPr>
              <w:t>fest</w:t>
            </w:r>
            <w:r>
              <w:rPr>
                <w:color w:val="000000" w:themeColor="text1"/>
              </w:rPr>
              <w:t xml:space="preserve">zulegen. </w:t>
            </w:r>
            <w:r w:rsidRPr="00076586">
              <w:rPr>
                <w:color w:val="000000" w:themeColor="text1"/>
              </w:rPr>
              <w:t>Vorlagen über die Stabsstelle SU, Biologische Sicherheit.</w:t>
            </w:r>
          </w:p>
        </w:tc>
        <w:tc>
          <w:tcPr>
            <w:tcW w:w="1418" w:type="dxa"/>
          </w:tcPr>
          <w:p w14:paraId="21FFCB59" w14:textId="77777777" w:rsidR="00E31C83" w:rsidRPr="00CB1CD7" w:rsidRDefault="00E31C83" w:rsidP="00E26750">
            <w:r w:rsidRPr="00076586">
              <w:rPr>
                <w:color w:val="000000" w:themeColor="text1"/>
              </w:rPr>
              <w:t>§14 (1) BiostoffV</w:t>
            </w:r>
            <w:r>
              <w:t xml:space="preserve">; </w:t>
            </w:r>
            <w:r w:rsidRPr="00CB1CD7">
              <w:t>TRBA 100, 5.1 (6)</w:t>
            </w:r>
          </w:p>
        </w:tc>
        <w:sdt>
          <w:sdtPr>
            <w:id w:val="-1433508942"/>
            <w14:checkbox>
              <w14:checked w14:val="0"/>
              <w14:checkedState w14:val="2612" w14:font="MS Gothic"/>
              <w14:uncheckedState w14:val="2610" w14:font="MS Gothic"/>
            </w14:checkbox>
          </w:sdtPr>
          <w:sdtEndPr/>
          <w:sdtContent>
            <w:tc>
              <w:tcPr>
                <w:tcW w:w="567" w:type="dxa"/>
                <w:vAlign w:val="center"/>
              </w:tcPr>
              <w:p w14:paraId="6D28DE76" w14:textId="77777777" w:rsidR="00E31C83" w:rsidRDefault="00E31C83" w:rsidP="00211683">
                <w:pPr>
                  <w:jc w:val="center"/>
                </w:pPr>
                <w:r>
                  <w:rPr>
                    <w:rFonts w:ascii="MS Gothic" w:eastAsia="MS Gothic" w:hAnsi="MS Gothic" w:hint="eastAsia"/>
                  </w:rPr>
                  <w:t>☐</w:t>
                </w:r>
              </w:p>
            </w:tc>
          </w:sdtContent>
        </w:sdt>
        <w:sdt>
          <w:sdtPr>
            <w:id w:val="-172575102"/>
            <w14:checkbox>
              <w14:checked w14:val="0"/>
              <w14:checkedState w14:val="2612" w14:font="MS Gothic"/>
              <w14:uncheckedState w14:val="2610" w14:font="MS Gothic"/>
            </w14:checkbox>
          </w:sdtPr>
          <w:sdtEndPr/>
          <w:sdtContent>
            <w:tc>
              <w:tcPr>
                <w:tcW w:w="567" w:type="dxa"/>
                <w:vAlign w:val="center"/>
              </w:tcPr>
              <w:p w14:paraId="53EB397F" w14:textId="77777777" w:rsidR="00E31C83" w:rsidRDefault="00E31C83" w:rsidP="00211683">
                <w:pPr>
                  <w:jc w:val="center"/>
                </w:pPr>
                <w:r>
                  <w:rPr>
                    <w:rFonts w:ascii="MS Gothic" w:eastAsia="MS Gothic" w:hAnsi="MS Gothic" w:hint="eastAsia"/>
                  </w:rPr>
                  <w:t>☐</w:t>
                </w:r>
              </w:p>
            </w:tc>
          </w:sdtContent>
        </w:sdt>
        <w:sdt>
          <w:sdtPr>
            <w:id w:val="567544043"/>
            <w14:checkbox>
              <w14:checked w14:val="0"/>
              <w14:checkedState w14:val="2612" w14:font="MS Gothic"/>
              <w14:uncheckedState w14:val="2610" w14:font="MS Gothic"/>
            </w14:checkbox>
          </w:sdtPr>
          <w:sdtEndPr/>
          <w:sdtContent>
            <w:tc>
              <w:tcPr>
                <w:tcW w:w="567" w:type="dxa"/>
                <w:vAlign w:val="center"/>
              </w:tcPr>
              <w:p w14:paraId="020994E2" w14:textId="77777777" w:rsidR="00E31C83" w:rsidRPr="00CB1CD7" w:rsidRDefault="00E31C83" w:rsidP="00211683">
                <w:pPr>
                  <w:jc w:val="center"/>
                </w:pPr>
                <w:r w:rsidRPr="00CB1CD7">
                  <w:rPr>
                    <w:rFonts w:ascii="MS Gothic" w:eastAsia="MS Gothic" w:hAnsi="MS Gothic" w:hint="eastAsia"/>
                  </w:rPr>
                  <w:t>☐</w:t>
                </w:r>
              </w:p>
            </w:tc>
          </w:sdtContent>
        </w:sdt>
        <w:tc>
          <w:tcPr>
            <w:tcW w:w="3259" w:type="dxa"/>
          </w:tcPr>
          <w:p w14:paraId="44A14A1D" w14:textId="77777777" w:rsidR="00E31C83" w:rsidRPr="00861D90" w:rsidRDefault="00E31C83" w:rsidP="00E26750">
            <w:pPr>
              <w:jc w:val="center"/>
            </w:pPr>
          </w:p>
        </w:tc>
      </w:tr>
      <w:tr w:rsidR="00E31C83" w:rsidRPr="00CB1CD7" w14:paraId="5C94E8C0" w14:textId="77777777" w:rsidTr="00CD0100">
        <w:tc>
          <w:tcPr>
            <w:tcW w:w="1980" w:type="dxa"/>
            <w:vMerge/>
          </w:tcPr>
          <w:p w14:paraId="2A05CFCF" w14:textId="77777777" w:rsidR="00E31C83" w:rsidRPr="00CB1CD7" w:rsidRDefault="00E31C83" w:rsidP="00E26750">
            <w:pPr>
              <w:pStyle w:val="Listenabsatz"/>
              <w:ind w:left="567"/>
            </w:pPr>
          </w:p>
        </w:tc>
        <w:tc>
          <w:tcPr>
            <w:tcW w:w="5641" w:type="dxa"/>
          </w:tcPr>
          <w:p w14:paraId="3C0210D7" w14:textId="77777777" w:rsidR="00E31C83" w:rsidRPr="00CB1CD7" w:rsidRDefault="00E31C83" w:rsidP="00D2362C">
            <w:pPr>
              <w:jc w:val="both"/>
            </w:pPr>
            <w:r>
              <w:t xml:space="preserve">Wenn vorhanden sind </w:t>
            </w:r>
            <w:r w:rsidR="00D2362C">
              <w:t>Spezies bezogene</w:t>
            </w:r>
            <w:r>
              <w:t xml:space="preserve"> Schutzmaßnahmen in die Betriebsanweisung aufzunehmen. Siehe z.B. TRBA 100 Anlage 1 für RG 3(**), Hinweise in den Einstufungen (TRBA 460-468), ABAS bzw. ZKBS Stellungnahmen.</w:t>
            </w:r>
          </w:p>
        </w:tc>
        <w:tc>
          <w:tcPr>
            <w:tcW w:w="1418" w:type="dxa"/>
          </w:tcPr>
          <w:p w14:paraId="364CDD60" w14:textId="77777777" w:rsidR="00E31C83" w:rsidRPr="00CB1CD7" w:rsidRDefault="00E31C83" w:rsidP="00E26750"/>
        </w:tc>
        <w:sdt>
          <w:sdtPr>
            <w:id w:val="-251744132"/>
            <w14:checkbox>
              <w14:checked w14:val="0"/>
              <w14:checkedState w14:val="2612" w14:font="MS Gothic"/>
              <w14:uncheckedState w14:val="2610" w14:font="MS Gothic"/>
            </w14:checkbox>
          </w:sdtPr>
          <w:sdtEndPr/>
          <w:sdtContent>
            <w:tc>
              <w:tcPr>
                <w:tcW w:w="567" w:type="dxa"/>
                <w:vAlign w:val="center"/>
              </w:tcPr>
              <w:p w14:paraId="3DD57A7A" w14:textId="77777777" w:rsidR="00E31C83" w:rsidRDefault="00E31C83" w:rsidP="00211683">
                <w:pPr>
                  <w:jc w:val="center"/>
                </w:pPr>
                <w:r>
                  <w:rPr>
                    <w:rFonts w:ascii="MS Gothic" w:eastAsia="MS Gothic" w:hAnsi="MS Gothic" w:hint="eastAsia"/>
                  </w:rPr>
                  <w:t>☐</w:t>
                </w:r>
              </w:p>
            </w:tc>
          </w:sdtContent>
        </w:sdt>
        <w:sdt>
          <w:sdtPr>
            <w:id w:val="-522162349"/>
            <w14:checkbox>
              <w14:checked w14:val="0"/>
              <w14:checkedState w14:val="2612" w14:font="MS Gothic"/>
              <w14:uncheckedState w14:val="2610" w14:font="MS Gothic"/>
            </w14:checkbox>
          </w:sdtPr>
          <w:sdtEndPr/>
          <w:sdtContent>
            <w:tc>
              <w:tcPr>
                <w:tcW w:w="567" w:type="dxa"/>
                <w:vAlign w:val="center"/>
              </w:tcPr>
              <w:p w14:paraId="41C8628D" w14:textId="77777777" w:rsidR="00E31C83" w:rsidRDefault="00E31C83" w:rsidP="00211683">
                <w:pPr>
                  <w:jc w:val="center"/>
                </w:pPr>
                <w:r>
                  <w:rPr>
                    <w:rFonts w:ascii="MS Gothic" w:eastAsia="MS Gothic" w:hAnsi="MS Gothic" w:hint="eastAsia"/>
                  </w:rPr>
                  <w:t>☐</w:t>
                </w:r>
              </w:p>
            </w:tc>
          </w:sdtContent>
        </w:sdt>
        <w:sdt>
          <w:sdtPr>
            <w:id w:val="1558964284"/>
            <w14:checkbox>
              <w14:checked w14:val="0"/>
              <w14:checkedState w14:val="2612" w14:font="MS Gothic"/>
              <w14:uncheckedState w14:val="2610" w14:font="MS Gothic"/>
            </w14:checkbox>
          </w:sdtPr>
          <w:sdtEndPr/>
          <w:sdtContent>
            <w:tc>
              <w:tcPr>
                <w:tcW w:w="567" w:type="dxa"/>
                <w:vAlign w:val="center"/>
              </w:tcPr>
              <w:p w14:paraId="3F7998F5" w14:textId="77777777" w:rsidR="00E31C83" w:rsidRPr="00CB1CD7" w:rsidRDefault="00E31C83" w:rsidP="00211683">
                <w:pPr>
                  <w:jc w:val="center"/>
                </w:pPr>
                <w:r w:rsidRPr="00CB1CD7">
                  <w:rPr>
                    <w:rFonts w:ascii="MS Gothic" w:eastAsia="MS Gothic" w:hAnsi="MS Gothic" w:hint="eastAsia"/>
                  </w:rPr>
                  <w:t>☐</w:t>
                </w:r>
              </w:p>
            </w:tc>
          </w:sdtContent>
        </w:sdt>
        <w:tc>
          <w:tcPr>
            <w:tcW w:w="3259" w:type="dxa"/>
          </w:tcPr>
          <w:p w14:paraId="36EDD1C3" w14:textId="77777777" w:rsidR="00E31C83" w:rsidRPr="00861D90" w:rsidRDefault="00E31C83" w:rsidP="00E26750">
            <w:pPr>
              <w:jc w:val="center"/>
            </w:pPr>
          </w:p>
        </w:tc>
      </w:tr>
      <w:tr w:rsidR="00E31C83" w:rsidRPr="00CB1CD7" w14:paraId="1BFFDAB1" w14:textId="77777777" w:rsidTr="00CD0100">
        <w:tc>
          <w:tcPr>
            <w:tcW w:w="1980" w:type="dxa"/>
            <w:vMerge/>
          </w:tcPr>
          <w:p w14:paraId="57B1EF75" w14:textId="77777777" w:rsidR="00E31C83" w:rsidRPr="00CB1CD7" w:rsidRDefault="00E31C83" w:rsidP="00E31C83">
            <w:pPr>
              <w:pStyle w:val="Listenabsatz"/>
              <w:ind w:left="567"/>
            </w:pPr>
          </w:p>
        </w:tc>
        <w:tc>
          <w:tcPr>
            <w:tcW w:w="5641" w:type="dxa"/>
          </w:tcPr>
          <w:p w14:paraId="603C2FF2" w14:textId="77777777" w:rsidR="00E31C83" w:rsidRPr="00CB1CD7" w:rsidRDefault="00E31C83" w:rsidP="007607D8">
            <w:pPr>
              <w:jc w:val="both"/>
            </w:pPr>
            <w:r w:rsidRPr="00CB1CD7">
              <w:t>Bei Geräten/Gefahrstoffen mit erhöhter Unfallgefahr sollen Betriebsanweisungen aushängen [z.B. Autoklav, Abzug, Zentrifugen, Flüssigstickstoff-Behälter, Sicherheitswerkbank, gif</w:t>
            </w:r>
            <w:r w:rsidR="007607D8">
              <w:t>tige/ ätzende/ brennbare Stoffe</w:t>
            </w:r>
            <w:r w:rsidRPr="00CB1CD7">
              <w:t>.</w:t>
            </w:r>
            <w:r w:rsidR="007607D8">
              <w:t xml:space="preserve"> Vorlagen SharePoint GöGebS bzw. über den Bereich Arbeitssicherheit</w:t>
            </w:r>
            <w:r w:rsidRPr="00CB1CD7">
              <w:t>]</w:t>
            </w:r>
          </w:p>
        </w:tc>
        <w:tc>
          <w:tcPr>
            <w:tcW w:w="1418" w:type="dxa"/>
          </w:tcPr>
          <w:p w14:paraId="00084BF5" w14:textId="77777777" w:rsidR="00E31C83" w:rsidRPr="00CB1CD7" w:rsidRDefault="00E31C83" w:rsidP="00E26750"/>
        </w:tc>
        <w:sdt>
          <w:sdtPr>
            <w:id w:val="769668151"/>
            <w14:checkbox>
              <w14:checked w14:val="0"/>
              <w14:checkedState w14:val="2612" w14:font="MS Gothic"/>
              <w14:uncheckedState w14:val="2610" w14:font="MS Gothic"/>
            </w14:checkbox>
          </w:sdtPr>
          <w:sdtEndPr/>
          <w:sdtContent>
            <w:tc>
              <w:tcPr>
                <w:tcW w:w="567" w:type="dxa"/>
                <w:vAlign w:val="center"/>
              </w:tcPr>
              <w:p w14:paraId="59569ED7" w14:textId="77777777" w:rsidR="00E31C83" w:rsidRDefault="007607D8" w:rsidP="00211683">
                <w:pPr>
                  <w:jc w:val="center"/>
                </w:pPr>
                <w:r>
                  <w:rPr>
                    <w:rFonts w:ascii="MS Gothic" w:eastAsia="MS Gothic" w:hAnsi="MS Gothic" w:hint="eastAsia"/>
                  </w:rPr>
                  <w:t>☐</w:t>
                </w:r>
              </w:p>
            </w:tc>
          </w:sdtContent>
        </w:sdt>
        <w:sdt>
          <w:sdtPr>
            <w:id w:val="1768575095"/>
            <w14:checkbox>
              <w14:checked w14:val="0"/>
              <w14:checkedState w14:val="2612" w14:font="MS Gothic"/>
              <w14:uncheckedState w14:val="2610" w14:font="MS Gothic"/>
            </w14:checkbox>
          </w:sdtPr>
          <w:sdtEndPr/>
          <w:sdtContent>
            <w:tc>
              <w:tcPr>
                <w:tcW w:w="567" w:type="dxa"/>
                <w:vAlign w:val="center"/>
              </w:tcPr>
              <w:p w14:paraId="6B1877B8" w14:textId="77777777" w:rsidR="00E31C83" w:rsidRDefault="007607D8" w:rsidP="00211683">
                <w:pPr>
                  <w:jc w:val="center"/>
                </w:pPr>
                <w:r>
                  <w:rPr>
                    <w:rFonts w:ascii="MS Gothic" w:eastAsia="MS Gothic" w:hAnsi="MS Gothic" w:hint="eastAsia"/>
                  </w:rPr>
                  <w:t>☐</w:t>
                </w:r>
              </w:p>
            </w:tc>
          </w:sdtContent>
        </w:sdt>
        <w:sdt>
          <w:sdtPr>
            <w:id w:val="1028905833"/>
            <w14:checkbox>
              <w14:checked w14:val="0"/>
              <w14:checkedState w14:val="2612" w14:font="MS Gothic"/>
              <w14:uncheckedState w14:val="2610" w14:font="MS Gothic"/>
            </w14:checkbox>
          </w:sdtPr>
          <w:sdtEndPr/>
          <w:sdtContent>
            <w:tc>
              <w:tcPr>
                <w:tcW w:w="567" w:type="dxa"/>
                <w:vAlign w:val="center"/>
              </w:tcPr>
              <w:p w14:paraId="24B5BE9D" w14:textId="77777777" w:rsidR="00E31C83" w:rsidRDefault="007607D8" w:rsidP="00211683">
                <w:pPr>
                  <w:jc w:val="center"/>
                </w:pPr>
                <w:r>
                  <w:rPr>
                    <w:rFonts w:ascii="MS Gothic" w:eastAsia="MS Gothic" w:hAnsi="MS Gothic" w:hint="eastAsia"/>
                  </w:rPr>
                  <w:t>☐</w:t>
                </w:r>
              </w:p>
            </w:tc>
          </w:sdtContent>
        </w:sdt>
        <w:tc>
          <w:tcPr>
            <w:tcW w:w="3259" w:type="dxa"/>
          </w:tcPr>
          <w:p w14:paraId="6B5E4EBF" w14:textId="77777777" w:rsidR="00E31C83" w:rsidRPr="00861D90" w:rsidRDefault="00E31C83" w:rsidP="00E26750">
            <w:pPr>
              <w:jc w:val="center"/>
            </w:pPr>
          </w:p>
        </w:tc>
      </w:tr>
      <w:tr w:rsidR="00211683" w:rsidRPr="00CB1CD7" w14:paraId="017A1EB7" w14:textId="77777777" w:rsidTr="00CD0100">
        <w:tc>
          <w:tcPr>
            <w:tcW w:w="1980" w:type="dxa"/>
          </w:tcPr>
          <w:p w14:paraId="417581F5" w14:textId="77777777" w:rsidR="00211683" w:rsidRPr="00CB1CD7" w:rsidRDefault="00211683" w:rsidP="00CD0100">
            <w:pPr>
              <w:pStyle w:val="Listenabsatz"/>
              <w:numPr>
                <w:ilvl w:val="1"/>
                <w:numId w:val="1"/>
              </w:numPr>
              <w:ind w:left="458" w:hanging="425"/>
            </w:pPr>
            <w:r w:rsidRPr="00CB1CD7">
              <w:t>Räume</w:t>
            </w:r>
          </w:p>
        </w:tc>
        <w:tc>
          <w:tcPr>
            <w:tcW w:w="5641" w:type="dxa"/>
          </w:tcPr>
          <w:p w14:paraId="54075CAF" w14:textId="77777777" w:rsidR="00211683" w:rsidRPr="00CB1CD7" w:rsidRDefault="00211683" w:rsidP="00E26750">
            <w:pPr>
              <w:jc w:val="both"/>
            </w:pPr>
            <w:r w:rsidRPr="00CB1CD7">
              <w:t>Fenster und Türen sind während der Tätigkeiten mit biologischen Arbeitsstoffen geschlossen zu halten.</w:t>
            </w:r>
          </w:p>
        </w:tc>
        <w:tc>
          <w:tcPr>
            <w:tcW w:w="1418" w:type="dxa"/>
          </w:tcPr>
          <w:p w14:paraId="397B86C2" w14:textId="77777777" w:rsidR="00211683" w:rsidRPr="00CB1CD7" w:rsidRDefault="00211683" w:rsidP="00E26750">
            <w:r w:rsidRPr="00CB1CD7">
              <w:t>TRBA 100, 5.3 (10)</w:t>
            </w:r>
          </w:p>
        </w:tc>
        <w:sdt>
          <w:sdtPr>
            <w:id w:val="742999814"/>
            <w14:checkbox>
              <w14:checked w14:val="0"/>
              <w14:checkedState w14:val="2612" w14:font="MS Gothic"/>
              <w14:uncheckedState w14:val="2610" w14:font="MS Gothic"/>
            </w14:checkbox>
          </w:sdtPr>
          <w:sdtEndPr/>
          <w:sdtContent>
            <w:tc>
              <w:tcPr>
                <w:tcW w:w="567" w:type="dxa"/>
                <w:vAlign w:val="center"/>
              </w:tcPr>
              <w:p w14:paraId="52ED8A81" w14:textId="77777777" w:rsidR="00211683" w:rsidRDefault="00211683" w:rsidP="00211683">
                <w:pPr>
                  <w:jc w:val="center"/>
                </w:pPr>
                <w:r>
                  <w:rPr>
                    <w:rFonts w:ascii="MS Gothic" w:eastAsia="MS Gothic" w:hAnsi="MS Gothic" w:hint="eastAsia"/>
                  </w:rPr>
                  <w:t>☐</w:t>
                </w:r>
              </w:p>
            </w:tc>
          </w:sdtContent>
        </w:sdt>
        <w:sdt>
          <w:sdtPr>
            <w:id w:val="347991685"/>
            <w14:checkbox>
              <w14:checked w14:val="0"/>
              <w14:checkedState w14:val="2612" w14:font="MS Gothic"/>
              <w14:uncheckedState w14:val="2610" w14:font="MS Gothic"/>
            </w14:checkbox>
          </w:sdtPr>
          <w:sdtEndPr/>
          <w:sdtContent>
            <w:tc>
              <w:tcPr>
                <w:tcW w:w="567" w:type="dxa"/>
                <w:vAlign w:val="center"/>
              </w:tcPr>
              <w:p w14:paraId="7DE76262" w14:textId="77777777" w:rsidR="00211683" w:rsidRDefault="00211683" w:rsidP="00211683">
                <w:pPr>
                  <w:jc w:val="center"/>
                </w:pPr>
                <w:r>
                  <w:rPr>
                    <w:rFonts w:ascii="MS Gothic" w:eastAsia="MS Gothic" w:hAnsi="MS Gothic" w:hint="eastAsia"/>
                  </w:rPr>
                  <w:t>☐</w:t>
                </w:r>
              </w:p>
            </w:tc>
          </w:sdtContent>
        </w:sdt>
        <w:sdt>
          <w:sdtPr>
            <w:id w:val="932406170"/>
            <w14:checkbox>
              <w14:checked w14:val="0"/>
              <w14:checkedState w14:val="2612" w14:font="MS Gothic"/>
              <w14:uncheckedState w14:val="2610" w14:font="MS Gothic"/>
            </w14:checkbox>
          </w:sdtPr>
          <w:sdtEndPr/>
          <w:sdtContent>
            <w:tc>
              <w:tcPr>
                <w:tcW w:w="567" w:type="dxa"/>
                <w:vAlign w:val="center"/>
              </w:tcPr>
              <w:p w14:paraId="30B63C8B"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5A3D6C8C" w14:textId="77777777" w:rsidR="00211683" w:rsidRPr="00861D90" w:rsidRDefault="00211683" w:rsidP="00E26750">
            <w:pPr>
              <w:jc w:val="center"/>
            </w:pPr>
          </w:p>
        </w:tc>
      </w:tr>
      <w:tr w:rsidR="00211683" w:rsidRPr="00CB1CD7" w14:paraId="698D9E2C" w14:textId="77777777" w:rsidTr="00CD0100">
        <w:tc>
          <w:tcPr>
            <w:tcW w:w="1980" w:type="dxa"/>
          </w:tcPr>
          <w:p w14:paraId="44F8FC84" w14:textId="77777777" w:rsidR="00211683" w:rsidRPr="00CB1CD7" w:rsidRDefault="00211683" w:rsidP="00CD0100">
            <w:pPr>
              <w:pStyle w:val="Listenabsatz"/>
              <w:numPr>
                <w:ilvl w:val="1"/>
                <w:numId w:val="1"/>
              </w:numPr>
              <w:ind w:left="458"/>
            </w:pPr>
            <w:r w:rsidRPr="00CB1CD7">
              <w:t>Lagerung</w:t>
            </w:r>
          </w:p>
        </w:tc>
        <w:tc>
          <w:tcPr>
            <w:tcW w:w="5641" w:type="dxa"/>
          </w:tcPr>
          <w:p w14:paraId="1EFC29F9" w14:textId="77777777" w:rsidR="00211683" w:rsidRPr="00CB1CD7" w:rsidRDefault="00211683" w:rsidP="00AD092A">
            <w:pPr>
              <w:jc w:val="both"/>
            </w:pPr>
            <w:r w:rsidRPr="00CB1CD7">
              <w:t>Biologische Arbeitsstoffe der Risikogruppe 2 sind in dicht verschlossenen Behältnissen sicher aufzubewahren. Handelt es sich dabei humanpathogenen biologischen Arbeitsstoffe</w:t>
            </w:r>
            <w:r>
              <w:t xml:space="preserve"> mit Dual-Use Verwendung</w:t>
            </w:r>
            <w:r w:rsidRPr="00CB1CD7">
              <w:t>, sind sie unter Verschluss zu halten.</w:t>
            </w:r>
          </w:p>
        </w:tc>
        <w:tc>
          <w:tcPr>
            <w:tcW w:w="1418" w:type="dxa"/>
          </w:tcPr>
          <w:p w14:paraId="4AE3087A" w14:textId="77777777" w:rsidR="00211683" w:rsidRPr="00CB1CD7" w:rsidRDefault="00211683" w:rsidP="00E26750">
            <w:r w:rsidRPr="00CB1CD7">
              <w:t>TRBA 100, 5.3 (12)</w:t>
            </w:r>
          </w:p>
        </w:tc>
        <w:sdt>
          <w:sdtPr>
            <w:id w:val="-546365132"/>
            <w14:checkbox>
              <w14:checked w14:val="0"/>
              <w14:checkedState w14:val="2612" w14:font="MS Gothic"/>
              <w14:uncheckedState w14:val="2610" w14:font="MS Gothic"/>
            </w14:checkbox>
          </w:sdtPr>
          <w:sdtEndPr/>
          <w:sdtContent>
            <w:tc>
              <w:tcPr>
                <w:tcW w:w="567" w:type="dxa"/>
                <w:vAlign w:val="center"/>
              </w:tcPr>
              <w:p w14:paraId="02C9140E" w14:textId="77777777" w:rsidR="00211683" w:rsidRDefault="00211683" w:rsidP="00211683">
                <w:pPr>
                  <w:jc w:val="center"/>
                </w:pPr>
                <w:r>
                  <w:rPr>
                    <w:rFonts w:ascii="MS Gothic" w:eastAsia="MS Gothic" w:hAnsi="MS Gothic" w:hint="eastAsia"/>
                  </w:rPr>
                  <w:t>☐</w:t>
                </w:r>
              </w:p>
            </w:tc>
          </w:sdtContent>
        </w:sdt>
        <w:sdt>
          <w:sdtPr>
            <w:id w:val="96148811"/>
            <w14:checkbox>
              <w14:checked w14:val="0"/>
              <w14:checkedState w14:val="2612" w14:font="MS Gothic"/>
              <w14:uncheckedState w14:val="2610" w14:font="MS Gothic"/>
            </w14:checkbox>
          </w:sdtPr>
          <w:sdtEndPr/>
          <w:sdtContent>
            <w:tc>
              <w:tcPr>
                <w:tcW w:w="567" w:type="dxa"/>
                <w:vAlign w:val="center"/>
              </w:tcPr>
              <w:p w14:paraId="7713077E" w14:textId="77777777" w:rsidR="00211683" w:rsidRDefault="00211683" w:rsidP="00211683">
                <w:pPr>
                  <w:jc w:val="center"/>
                </w:pPr>
                <w:r>
                  <w:rPr>
                    <w:rFonts w:ascii="MS Gothic" w:eastAsia="MS Gothic" w:hAnsi="MS Gothic" w:hint="eastAsia"/>
                  </w:rPr>
                  <w:t>☐</w:t>
                </w:r>
              </w:p>
            </w:tc>
          </w:sdtContent>
        </w:sdt>
        <w:sdt>
          <w:sdtPr>
            <w:id w:val="-1320264282"/>
            <w14:checkbox>
              <w14:checked w14:val="0"/>
              <w14:checkedState w14:val="2612" w14:font="MS Gothic"/>
              <w14:uncheckedState w14:val="2610" w14:font="MS Gothic"/>
            </w14:checkbox>
          </w:sdtPr>
          <w:sdtEndPr/>
          <w:sdtContent>
            <w:tc>
              <w:tcPr>
                <w:tcW w:w="567" w:type="dxa"/>
                <w:vAlign w:val="center"/>
              </w:tcPr>
              <w:p w14:paraId="301365A3"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732EE82B" w14:textId="77777777" w:rsidR="00211683" w:rsidRPr="00861D90" w:rsidRDefault="00211683" w:rsidP="00E26750">
            <w:pPr>
              <w:jc w:val="center"/>
            </w:pPr>
          </w:p>
        </w:tc>
      </w:tr>
      <w:tr w:rsidR="00211683" w:rsidRPr="00CB1CD7" w14:paraId="15564E76" w14:textId="77777777" w:rsidTr="00CD0100">
        <w:trPr>
          <w:cantSplit/>
        </w:trPr>
        <w:tc>
          <w:tcPr>
            <w:tcW w:w="1980" w:type="dxa"/>
            <w:vMerge w:val="restart"/>
          </w:tcPr>
          <w:p w14:paraId="78F9F531" w14:textId="77777777" w:rsidR="00211683" w:rsidRPr="00CB1CD7" w:rsidRDefault="00211683" w:rsidP="00CD0100">
            <w:pPr>
              <w:pStyle w:val="Listenabsatz"/>
              <w:numPr>
                <w:ilvl w:val="1"/>
                <w:numId w:val="1"/>
              </w:numPr>
              <w:ind w:left="458"/>
            </w:pPr>
            <w:r w:rsidRPr="00CB1CD7">
              <w:t>Arbeitsplatz</w:t>
            </w:r>
          </w:p>
        </w:tc>
        <w:tc>
          <w:tcPr>
            <w:tcW w:w="5641" w:type="dxa"/>
          </w:tcPr>
          <w:p w14:paraId="284058A1" w14:textId="77777777" w:rsidR="00211683" w:rsidRPr="00CB1CD7" w:rsidRDefault="00211683" w:rsidP="00E26750">
            <w:pPr>
              <w:jc w:val="both"/>
            </w:pPr>
            <w:r w:rsidRPr="00CB1CD7">
              <w:t>Arbeitsbereiche sollen aufgeräumt und sauber gehalten werden. Auf den Arbeitsflächen sollen nur die tatsächlich benötigten Arbeitsmittel stehen. Das Laboratorium ist regelmäßig zu reinigen. Arbeitsflächen müssen nach Beendigung der Tätigkeit und kontaminierte Arbeitsgeräte nach Gebrauch entsprechend Hygieneplan dekontaminiert und gereinigt werden. Akzidentelle Kontaminationen sind sofort zu beseitigen. [Keine offene Lagerhaltung im Labor].</w:t>
            </w:r>
          </w:p>
        </w:tc>
        <w:tc>
          <w:tcPr>
            <w:tcW w:w="1418" w:type="dxa"/>
          </w:tcPr>
          <w:p w14:paraId="4794EDD5" w14:textId="77777777" w:rsidR="00211683" w:rsidRPr="00CB1CD7" w:rsidRDefault="00211683" w:rsidP="00E26750">
            <w:r w:rsidRPr="00CB1CD7">
              <w:t>TRBA 100, 5.3 (13)</w:t>
            </w:r>
          </w:p>
        </w:tc>
        <w:sdt>
          <w:sdtPr>
            <w:id w:val="130222111"/>
            <w14:checkbox>
              <w14:checked w14:val="0"/>
              <w14:checkedState w14:val="2612" w14:font="MS Gothic"/>
              <w14:uncheckedState w14:val="2610" w14:font="MS Gothic"/>
            </w14:checkbox>
          </w:sdtPr>
          <w:sdtEndPr/>
          <w:sdtContent>
            <w:tc>
              <w:tcPr>
                <w:tcW w:w="567" w:type="dxa"/>
                <w:vAlign w:val="center"/>
              </w:tcPr>
              <w:p w14:paraId="3774D9F3" w14:textId="77777777" w:rsidR="00211683" w:rsidRDefault="00211683" w:rsidP="00211683">
                <w:pPr>
                  <w:jc w:val="center"/>
                </w:pPr>
                <w:r>
                  <w:rPr>
                    <w:rFonts w:ascii="MS Gothic" w:eastAsia="MS Gothic" w:hAnsi="MS Gothic" w:hint="eastAsia"/>
                  </w:rPr>
                  <w:t>☐</w:t>
                </w:r>
              </w:p>
            </w:tc>
          </w:sdtContent>
        </w:sdt>
        <w:sdt>
          <w:sdtPr>
            <w:id w:val="-432213114"/>
            <w14:checkbox>
              <w14:checked w14:val="0"/>
              <w14:checkedState w14:val="2612" w14:font="MS Gothic"/>
              <w14:uncheckedState w14:val="2610" w14:font="MS Gothic"/>
            </w14:checkbox>
          </w:sdtPr>
          <w:sdtEndPr/>
          <w:sdtContent>
            <w:tc>
              <w:tcPr>
                <w:tcW w:w="567" w:type="dxa"/>
                <w:vAlign w:val="center"/>
              </w:tcPr>
              <w:p w14:paraId="18DA0364" w14:textId="77777777" w:rsidR="00211683" w:rsidRDefault="00211683" w:rsidP="00211683">
                <w:pPr>
                  <w:jc w:val="center"/>
                </w:pPr>
                <w:r>
                  <w:rPr>
                    <w:rFonts w:ascii="MS Gothic" w:eastAsia="MS Gothic" w:hAnsi="MS Gothic" w:hint="eastAsia"/>
                  </w:rPr>
                  <w:t>☐</w:t>
                </w:r>
              </w:p>
            </w:tc>
          </w:sdtContent>
        </w:sdt>
        <w:sdt>
          <w:sdtPr>
            <w:id w:val="1837574535"/>
            <w14:checkbox>
              <w14:checked w14:val="0"/>
              <w14:checkedState w14:val="2612" w14:font="MS Gothic"/>
              <w14:uncheckedState w14:val="2610" w14:font="MS Gothic"/>
            </w14:checkbox>
          </w:sdtPr>
          <w:sdtEndPr/>
          <w:sdtContent>
            <w:tc>
              <w:tcPr>
                <w:tcW w:w="567" w:type="dxa"/>
                <w:vAlign w:val="center"/>
              </w:tcPr>
              <w:p w14:paraId="7EC0CB12"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453B7723" w14:textId="77777777" w:rsidR="00211683" w:rsidRPr="00861D90" w:rsidRDefault="00211683" w:rsidP="00E26750">
            <w:pPr>
              <w:jc w:val="center"/>
            </w:pPr>
          </w:p>
        </w:tc>
      </w:tr>
      <w:tr w:rsidR="00211683" w:rsidRPr="00CB1CD7" w14:paraId="75861679" w14:textId="77777777" w:rsidTr="00CD0100">
        <w:tc>
          <w:tcPr>
            <w:tcW w:w="1980" w:type="dxa"/>
            <w:vMerge/>
          </w:tcPr>
          <w:p w14:paraId="2B0CC90E" w14:textId="77777777" w:rsidR="00211683" w:rsidRPr="00CB1CD7" w:rsidRDefault="00211683" w:rsidP="00E26750"/>
        </w:tc>
        <w:tc>
          <w:tcPr>
            <w:tcW w:w="5641" w:type="dxa"/>
          </w:tcPr>
          <w:p w14:paraId="2489DCCE" w14:textId="77777777" w:rsidR="00211683" w:rsidRPr="00CB1CD7" w:rsidRDefault="00211683" w:rsidP="00E26750">
            <w:pPr>
              <w:jc w:val="both"/>
            </w:pPr>
            <w:r w:rsidRPr="00CB1CD7">
              <w:t xml:space="preserve">Labor- und Schreibplätze sind im Labor deutlich zu trennen, z.B. mittels Plexiglas. </w:t>
            </w:r>
          </w:p>
        </w:tc>
        <w:tc>
          <w:tcPr>
            <w:tcW w:w="1418" w:type="dxa"/>
          </w:tcPr>
          <w:p w14:paraId="57E87F96" w14:textId="77777777" w:rsidR="00211683" w:rsidRPr="00CB1CD7" w:rsidRDefault="00211683" w:rsidP="00E26750"/>
        </w:tc>
        <w:sdt>
          <w:sdtPr>
            <w:id w:val="-1023628299"/>
            <w14:checkbox>
              <w14:checked w14:val="0"/>
              <w14:checkedState w14:val="2612" w14:font="MS Gothic"/>
              <w14:uncheckedState w14:val="2610" w14:font="MS Gothic"/>
            </w14:checkbox>
          </w:sdtPr>
          <w:sdtEndPr/>
          <w:sdtContent>
            <w:tc>
              <w:tcPr>
                <w:tcW w:w="567" w:type="dxa"/>
                <w:vAlign w:val="center"/>
              </w:tcPr>
              <w:p w14:paraId="0D73728A" w14:textId="77777777" w:rsidR="00211683" w:rsidRDefault="00211683" w:rsidP="00211683">
                <w:pPr>
                  <w:jc w:val="center"/>
                </w:pPr>
                <w:r>
                  <w:rPr>
                    <w:rFonts w:ascii="MS Gothic" w:eastAsia="MS Gothic" w:hAnsi="MS Gothic" w:hint="eastAsia"/>
                  </w:rPr>
                  <w:t>☐</w:t>
                </w:r>
              </w:p>
            </w:tc>
          </w:sdtContent>
        </w:sdt>
        <w:sdt>
          <w:sdtPr>
            <w:id w:val="1204371329"/>
            <w14:checkbox>
              <w14:checked w14:val="0"/>
              <w14:checkedState w14:val="2612" w14:font="MS Gothic"/>
              <w14:uncheckedState w14:val="2610" w14:font="MS Gothic"/>
            </w14:checkbox>
          </w:sdtPr>
          <w:sdtEndPr/>
          <w:sdtContent>
            <w:tc>
              <w:tcPr>
                <w:tcW w:w="567" w:type="dxa"/>
                <w:vAlign w:val="center"/>
              </w:tcPr>
              <w:p w14:paraId="20FDD1D4" w14:textId="77777777" w:rsidR="00211683" w:rsidRDefault="00211683" w:rsidP="00211683">
                <w:pPr>
                  <w:jc w:val="center"/>
                </w:pPr>
                <w:r>
                  <w:rPr>
                    <w:rFonts w:ascii="MS Gothic" w:eastAsia="MS Gothic" w:hAnsi="MS Gothic" w:hint="eastAsia"/>
                  </w:rPr>
                  <w:t>☐</w:t>
                </w:r>
              </w:p>
            </w:tc>
          </w:sdtContent>
        </w:sdt>
        <w:sdt>
          <w:sdtPr>
            <w:id w:val="1866864575"/>
            <w14:checkbox>
              <w14:checked w14:val="0"/>
              <w14:checkedState w14:val="2612" w14:font="MS Gothic"/>
              <w14:uncheckedState w14:val="2610" w14:font="MS Gothic"/>
            </w14:checkbox>
          </w:sdtPr>
          <w:sdtEndPr/>
          <w:sdtContent>
            <w:tc>
              <w:tcPr>
                <w:tcW w:w="567" w:type="dxa"/>
                <w:vAlign w:val="center"/>
              </w:tcPr>
              <w:p w14:paraId="4467869C"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52A3EB48" w14:textId="77777777" w:rsidR="00211683" w:rsidRPr="00861D90" w:rsidRDefault="00211683" w:rsidP="00E26750">
            <w:pPr>
              <w:jc w:val="center"/>
            </w:pPr>
          </w:p>
        </w:tc>
      </w:tr>
      <w:tr w:rsidR="00211683" w:rsidRPr="00CB1CD7" w14:paraId="0A06926A" w14:textId="77777777" w:rsidTr="00CD0100">
        <w:tc>
          <w:tcPr>
            <w:tcW w:w="1980" w:type="dxa"/>
            <w:vMerge w:val="restart"/>
          </w:tcPr>
          <w:p w14:paraId="341920AF" w14:textId="77777777" w:rsidR="00211683" w:rsidRPr="00CB1CD7" w:rsidRDefault="00211683" w:rsidP="00CD0100">
            <w:pPr>
              <w:pStyle w:val="Listenabsatz"/>
              <w:numPr>
                <w:ilvl w:val="1"/>
                <w:numId w:val="1"/>
              </w:numPr>
              <w:ind w:left="458"/>
            </w:pPr>
            <w:r w:rsidRPr="00CB1CD7">
              <w:t>Proben-handhabung</w:t>
            </w:r>
          </w:p>
        </w:tc>
        <w:tc>
          <w:tcPr>
            <w:tcW w:w="5641" w:type="dxa"/>
          </w:tcPr>
          <w:p w14:paraId="4307B5D0" w14:textId="77777777" w:rsidR="00211683" w:rsidRPr="00CB1CD7" w:rsidRDefault="00211683" w:rsidP="00E26750">
            <w:pPr>
              <w:jc w:val="both"/>
            </w:pPr>
            <w:r w:rsidRPr="00CB1CD7">
              <w:t>Werden im Bereich der Probenanlieferung Kontaminationen der Sekundärverpackung und der Anforderungsscheine festgestellt, müssen diese desinfiziert und ggf. neu etikettiert werden. Probengefäße müssen gefahrlos zu öffnen sein.</w:t>
            </w:r>
          </w:p>
        </w:tc>
        <w:tc>
          <w:tcPr>
            <w:tcW w:w="1418" w:type="dxa"/>
          </w:tcPr>
          <w:p w14:paraId="19D6B70B" w14:textId="77777777" w:rsidR="00211683" w:rsidRPr="00CB1CD7" w:rsidRDefault="00211683" w:rsidP="00E26750">
            <w:r w:rsidRPr="00CB1CD7">
              <w:t>TRBA 100, 5.3 (20)</w:t>
            </w:r>
          </w:p>
        </w:tc>
        <w:sdt>
          <w:sdtPr>
            <w:id w:val="-1930499569"/>
            <w14:checkbox>
              <w14:checked w14:val="0"/>
              <w14:checkedState w14:val="2612" w14:font="MS Gothic"/>
              <w14:uncheckedState w14:val="2610" w14:font="MS Gothic"/>
            </w14:checkbox>
          </w:sdtPr>
          <w:sdtEndPr/>
          <w:sdtContent>
            <w:tc>
              <w:tcPr>
                <w:tcW w:w="567" w:type="dxa"/>
                <w:vAlign w:val="center"/>
              </w:tcPr>
              <w:p w14:paraId="5D38E99A" w14:textId="77777777" w:rsidR="00211683" w:rsidRDefault="00211683" w:rsidP="00211683">
                <w:pPr>
                  <w:jc w:val="center"/>
                </w:pPr>
                <w:r>
                  <w:rPr>
                    <w:rFonts w:ascii="MS Gothic" w:eastAsia="MS Gothic" w:hAnsi="MS Gothic" w:hint="eastAsia"/>
                  </w:rPr>
                  <w:t>☐</w:t>
                </w:r>
              </w:p>
            </w:tc>
          </w:sdtContent>
        </w:sdt>
        <w:sdt>
          <w:sdtPr>
            <w:id w:val="-1347168539"/>
            <w14:checkbox>
              <w14:checked w14:val="0"/>
              <w14:checkedState w14:val="2612" w14:font="MS Gothic"/>
              <w14:uncheckedState w14:val="2610" w14:font="MS Gothic"/>
            </w14:checkbox>
          </w:sdtPr>
          <w:sdtEndPr/>
          <w:sdtContent>
            <w:tc>
              <w:tcPr>
                <w:tcW w:w="567" w:type="dxa"/>
                <w:vAlign w:val="center"/>
              </w:tcPr>
              <w:p w14:paraId="6B669328" w14:textId="77777777" w:rsidR="00211683" w:rsidRDefault="00211683" w:rsidP="00211683">
                <w:pPr>
                  <w:jc w:val="center"/>
                </w:pPr>
                <w:r>
                  <w:rPr>
                    <w:rFonts w:ascii="MS Gothic" w:eastAsia="MS Gothic" w:hAnsi="MS Gothic" w:hint="eastAsia"/>
                  </w:rPr>
                  <w:t>☐</w:t>
                </w:r>
              </w:p>
            </w:tc>
          </w:sdtContent>
        </w:sdt>
        <w:sdt>
          <w:sdtPr>
            <w:id w:val="34095660"/>
            <w14:checkbox>
              <w14:checked w14:val="0"/>
              <w14:checkedState w14:val="2612" w14:font="MS Gothic"/>
              <w14:uncheckedState w14:val="2610" w14:font="MS Gothic"/>
            </w14:checkbox>
          </w:sdtPr>
          <w:sdtEndPr/>
          <w:sdtContent>
            <w:tc>
              <w:tcPr>
                <w:tcW w:w="567" w:type="dxa"/>
                <w:vAlign w:val="center"/>
              </w:tcPr>
              <w:p w14:paraId="59285A0B"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7C134337" w14:textId="77777777" w:rsidR="00211683" w:rsidRPr="00861D90" w:rsidRDefault="00211683" w:rsidP="00E26750">
            <w:pPr>
              <w:jc w:val="center"/>
            </w:pPr>
          </w:p>
        </w:tc>
      </w:tr>
      <w:tr w:rsidR="00211683" w:rsidRPr="00CB1CD7" w14:paraId="6917624F" w14:textId="77777777" w:rsidTr="00CD0100">
        <w:tc>
          <w:tcPr>
            <w:tcW w:w="1980" w:type="dxa"/>
            <w:vMerge/>
          </w:tcPr>
          <w:p w14:paraId="392BA2AF" w14:textId="77777777" w:rsidR="00211683" w:rsidRPr="00CB1CD7" w:rsidRDefault="00211683" w:rsidP="00E26750">
            <w:pPr>
              <w:pStyle w:val="Listenabsatz"/>
              <w:ind w:left="567"/>
            </w:pPr>
          </w:p>
        </w:tc>
        <w:tc>
          <w:tcPr>
            <w:tcW w:w="5641" w:type="dxa"/>
          </w:tcPr>
          <w:p w14:paraId="5A0CD390" w14:textId="77777777" w:rsidR="00211683" w:rsidRPr="00CB1CD7" w:rsidRDefault="00211683" w:rsidP="00E26750">
            <w:pPr>
              <w:jc w:val="both"/>
            </w:pPr>
            <w:r w:rsidRPr="00CB1CD7">
              <w:t>Werden Probengefäße mit Untersuchungsgut z.B. bei der Parallelaufarbeitung einer großen Zahl von Proben eine Zeit lang unverschlossen gehalten, so sind sie umsturzsicher in einer Auffangwanne aufzubewahren. Nach Abschluss der Pipettiervorgänge sind sie sicher zu verschließen.</w:t>
            </w:r>
          </w:p>
        </w:tc>
        <w:tc>
          <w:tcPr>
            <w:tcW w:w="1418" w:type="dxa"/>
          </w:tcPr>
          <w:p w14:paraId="391D19CC" w14:textId="77777777" w:rsidR="00211683" w:rsidRPr="00CB1CD7" w:rsidRDefault="00211683" w:rsidP="00E26750">
            <w:r w:rsidRPr="00CB1CD7">
              <w:t>TRBA 100, 5.3 (22)</w:t>
            </w:r>
          </w:p>
        </w:tc>
        <w:sdt>
          <w:sdtPr>
            <w:id w:val="1725717586"/>
            <w14:checkbox>
              <w14:checked w14:val="0"/>
              <w14:checkedState w14:val="2612" w14:font="MS Gothic"/>
              <w14:uncheckedState w14:val="2610" w14:font="MS Gothic"/>
            </w14:checkbox>
          </w:sdtPr>
          <w:sdtEndPr/>
          <w:sdtContent>
            <w:tc>
              <w:tcPr>
                <w:tcW w:w="567" w:type="dxa"/>
                <w:vAlign w:val="center"/>
              </w:tcPr>
              <w:p w14:paraId="2C7382D3" w14:textId="77777777" w:rsidR="00211683" w:rsidRDefault="00211683" w:rsidP="00211683">
                <w:pPr>
                  <w:jc w:val="center"/>
                </w:pPr>
                <w:r>
                  <w:rPr>
                    <w:rFonts w:ascii="MS Gothic" w:eastAsia="MS Gothic" w:hAnsi="MS Gothic" w:hint="eastAsia"/>
                  </w:rPr>
                  <w:t>☐</w:t>
                </w:r>
              </w:p>
            </w:tc>
          </w:sdtContent>
        </w:sdt>
        <w:sdt>
          <w:sdtPr>
            <w:id w:val="14050500"/>
            <w14:checkbox>
              <w14:checked w14:val="0"/>
              <w14:checkedState w14:val="2612" w14:font="MS Gothic"/>
              <w14:uncheckedState w14:val="2610" w14:font="MS Gothic"/>
            </w14:checkbox>
          </w:sdtPr>
          <w:sdtEndPr/>
          <w:sdtContent>
            <w:tc>
              <w:tcPr>
                <w:tcW w:w="567" w:type="dxa"/>
                <w:vAlign w:val="center"/>
              </w:tcPr>
              <w:p w14:paraId="666E98B7" w14:textId="77777777" w:rsidR="00211683" w:rsidRDefault="00211683" w:rsidP="00211683">
                <w:pPr>
                  <w:jc w:val="center"/>
                </w:pPr>
                <w:r>
                  <w:rPr>
                    <w:rFonts w:ascii="MS Gothic" w:eastAsia="MS Gothic" w:hAnsi="MS Gothic" w:hint="eastAsia"/>
                  </w:rPr>
                  <w:t>☐</w:t>
                </w:r>
              </w:p>
            </w:tc>
          </w:sdtContent>
        </w:sdt>
        <w:sdt>
          <w:sdtPr>
            <w:id w:val="-229469311"/>
            <w14:checkbox>
              <w14:checked w14:val="0"/>
              <w14:checkedState w14:val="2612" w14:font="MS Gothic"/>
              <w14:uncheckedState w14:val="2610" w14:font="MS Gothic"/>
            </w14:checkbox>
          </w:sdtPr>
          <w:sdtEndPr/>
          <w:sdtContent>
            <w:tc>
              <w:tcPr>
                <w:tcW w:w="567" w:type="dxa"/>
                <w:vAlign w:val="center"/>
              </w:tcPr>
              <w:p w14:paraId="3BE589EF"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6FE96D6A" w14:textId="77777777" w:rsidR="00211683" w:rsidRPr="00861D90" w:rsidRDefault="00211683" w:rsidP="00E26750">
            <w:pPr>
              <w:jc w:val="center"/>
            </w:pPr>
          </w:p>
        </w:tc>
      </w:tr>
      <w:tr w:rsidR="00211683" w:rsidRPr="00CB1CD7" w14:paraId="7083D673" w14:textId="77777777" w:rsidTr="00CD0100">
        <w:tc>
          <w:tcPr>
            <w:tcW w:w="1980" w:type="dxa"/>
          </w:tcPr>
          <w:p w14:paraId="412352A1" w14:textId="77777777" w:rsidR="00211683" w:rsidRPr="00CB1CD7" w:rsidRDefault="00211683" w:rsidP="00CD0100">
            <w:pPr>
              <w:pStyle w:val="Listenabsatz"/>
              <w:numPr>
                <w:ilvl w:val="1"/>
                <w:numId w:val="1"/>
              </w:numPr>
              <w:ind w:left="458"/>
            </w:pPr>
            <w:r w:rsidRPr="00CB1CD7">
              <w:t>Nahrungs-, Genussmittel</w:t>
            </w:r>
          </w:p>
        </w:tc>
        <w:tc>
          <w:tcPr>
            <w:tcW w:w="5641" w:type="dxa"/>
          </w:tcPr>
          <w:p w14:paraId="0325D3D7" w14:textId="77777777" w:rsidR="00211683" w:rsidRPr="00CB1CD7" w:rsidRDefault="00211683" w:rsidP="00E26750">
            <w:pPr>
              <w:jc w:val="both"/>
            </w:pPr>
            <w:r w:rsidRPr="00CB1CD7">
              <w:t>Keine Aufbewahrung und Nutzung von Nahrungs-, Genussmittel und Kosmetika.  Für die Beschäftigten sind Aufenthaltsbereiche einzurichten.</w:t>
            </w:r>
          </w:p>
        </w:tc>
        <w:tc>
          <w:tcPr>
            <w:tcW w:w="1418" w:type="dxa"/>
          </w:tcPr>
          <w:p w14:paraId="5D3CA16A" w14:textId="77777777" w:rsidR="00211683" w:rsidRPr="00CB1CD7" w:rsidRDefault="00211683" w:rsidP="00E26750">
            <w:r w:rsidRPr="00CB1CD7">
              <w:t>TRBA 100, 5.1 (5)</w:t>
            </w:r>
          </w:p>
        </w:tc>
        <w:sdt>
          <w:sdtPr>
            <w:id w:val="512196576"/>
            <w14:checkbox>
              <w14:checked w14:val="0"/>
              <w14:checkedState w14:val="2612" w14:font="MS Gothic"/>
              <w14:uncheckedState w14:val="2610" w14:font="MS Gothic"/>
            </w14:checkbox>
          </w:sdtPr>
          <w:sdtEndPr/>
          <w:sdtContent>
            <w:tc>
              <w:tcPr>
                <w:tcW w:w="567" w:type="dxa"/>
                <w:vAlign w:val="center"/>
              </w:tcPr>
              <w:p w14:paraId="7A095631" w14:textId="77777777" w:rsidR="00211683" w:rsidRDefault="00211683" w:rsidP="00211683">
                <w:pPr>
                  <w:jc w:val="center"/>
                </w:pPr>
                <w:r>
                  <w:rPr>
                    <w:rFonts w:ascii="MS Gothic" w:eastAsia="MS Gothic" w:hAnsi="MS Gothic" w:hint="eastAsia"/>
                  </w:rPr>
                  <w:t>☐</w:t>
                </w:r>
              </w:p>
            </w:tc>
          </w:sdtContent>
        </w:sdt>
        <w:sdt>
          <w:sdtPr>
            <w:id w:val="-9216045"/>
            <w14:checkbox>
              <w14:checked w14:val="0"/>
              <w14:checkedState w14:val="2612" w14:font="MS Gothic"/>
              <w14:uncheckedState w14:val="2610" w14:font="MS Gothic"/>
            </w14:checkbox>
          </w:sdtPr>
          <w:sdtEndPr/>
          <w:sdtContent>
            <w:tc>
              <w:tcPr>
                <w:tcW w:w="567" w:type="dxa"/>
                <w:vAlign w:val="center"/>
              </w:tcPr>
              <w:p w14:paraId="533CA237" w14:textId="77777777" w:rsidR="00211683" w:rsidRDefault="00211683" w:rsidP="00211683">
                <w:pPr>
                  <w:jc w:val="center"/>
                </w:pPr>
                <w:r>
                  <w:rPr>
                    <w:rFonts w:ascii="MS Gothic" w:eastAsia="MS Gothic" w:hAnsi="MS Gothic" w:hint="eastAsia"/>
                  </w:rPr>
                  <w:t>☐</w:t>
                </w:r>
              </w:p>
            </w:tc>
          </w:sdtContent>
        </w:sdt>
        <w:sdt>
          <w:sdtPr>
            <w:id w:val="1053808917"/>
            <w14:checkbox>
              <w14:checked w14:val="0"/>
              <w14:checkedState w14:val="2612" w14:font="MS Gothic"/>
              <w14:uncheckedState w14:val="2610" w14:font="MS Gothic"/>
            </w14:checkbox>
          </w:sdtPr>
          <w:sdtEndPr/>
          <w:sdtContent>
            <w:tc>
              <w:tcPr>
                <w:tcW w:w="567" w:type="dxa"/>
                <w:vAlign w:val="center"/>
              </w:tcPr>
              <w:p w14:paraId="5828011B"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11BF3C95" w14:textId="77777777" w:rsidR="00211683" w:rsidRPr="00861D90" w:rsidRDefault="00211683" w:rsidP="00E26750">
            <w:pPr>
              <w:jc w:val="center"/>
            </w:pPr>
          </w:p>
        </w:tc>
      </w:tr>
      <w:tr w:rsidR="00211683" w:rsidRPr="00CB1CD7" w14:paraId="5F2ABD5F" w14:textId="77777777" w:rsidTr="00CD0100">
        <w:trPr>
          <w:cantSplit/>
        </w:trPr>
        <w:tc>
          <w:tcPr>
            <w:tcW w:w="1980" w:type="dxa"/>
          </w:tcPr>
          <w:p w14:paraId="0CC6EE12" w14:textId="77777777" w:rsidR="00211683" w:rsidRPr="00CB1CD7" w:rsidRDefault="00211683" w:rsidP="00CD0100">
            <w:pPr>
              <w:pStyle w:val="Listenabsatz"/>
              <w:numPr>
                <w:ilvl w:val="1"/>
                <w:numId w:val="1"/>
              </w:numPr>
              <w:ind w:left="458"/>
            </w:pPr>
            <w:r w:rsidRPr="00CB1CD7">
              <w:t>Transport (intern)</w:t>
            </w:r>
          </w:p>
        </w:tc>
        <w:tc>
          <w:tcPr>
            <w:tcW w:w="5641" w:type="dxa"/>
          </w:tcPr>
          <w:p w14:paraId="46A7D86B" w14:textId="77777777" w:rsidR="00211683" w:rsidRPr="00CB1CD7" w:rsidRDefault="00211683" w:rsidP="00E26750">
            <w:pPr>
              <w:jc w:val="both"/>
            </w:pPr>
            <w:r w:rsidRPr="00CB1CD7">
              <w:t>Werden biologische Arbeitsstoffe oder Material, welches biologische Arbeitsstoffe enthält oder enthalten kann, außerhalb des Schutzstufenbereichs innerbetrieblich transportiert, muss dies in geschlossenen, formstabilen, bruchsicheren, flüssigkeitsdichten und von außen desinfizierbaren Gefäßen erfolgen, die dauerhaft beschriftbar bzw. etikettierbar sind. Sie dürfen sich durch äußere Einwirkungen nicht versehentlich öffnen lassen.</w:t>
            </w:r>
          </w:p>
        </w:tc>
        <w:tc>
          <w:tcPr>
            <w:tcW w:w="1418" w:type="dxa"/>
          </w:tcPr>
          <w:p w14:paraId="30265D55" w14:textId="77777777" w:rsidR="00211683" w:rsidRPr="00CB1CD7" w:rsidRDefault="00211683" w:rsidP="00E26750">
            <w:r w:rsidRPr="00CB1CD7">
              <w:t>TRBA 100, 5.3 (19)</w:t>
            </w:r>
          </w:p>
        </w:tc>
        <w:sdt>
          <w:sdtPr>
            <w:id w:val="-1947687217"/>
            <w14:checkbox>
              <w14:checked w14:val="0"/>
              <w14:checkedState w14:val="2612" w14:font="MS Gothic"/>
              <w14:uncheckedState w14:val="2610" w14:font="MS Gothic"/>
            </w14:checkbox>
          </w:sdtPr>
          <w:sdtEndPr/>
          <w:sdtContent>
            <w:tc>
              <w:tcPr>
                <w:tcW w:w="567" w:type="dxa"/>
                <w:vAlign w:val="center"/>
              </w:tcPr>
              <w:p w14:paraId="4AD76543" w14:textId="77777777" w:rsidR="00211683" w:rsidRDefault="00211683" w:rsidP="00211683">
                <w:pPr>
                  <w:jc w:val="center"/>
                </w:pPr>
                <w:r>
                  <w:rPr>
                    <w:rFonts w:ascii="MS Gothic" w:eastAsia="MS Gothic" w:hAnsi="MS Gothic" w:hint="eastAsia"/>
                  </w:rPr>
                  <w:t>☐</w:t>
                </w:r>
              </w:p>
            </w:tc>
          </w:sdtContent>
        </w:sdt>
        <w:sdt>
          <w:sdtPr>
            <w:id w:val="-1078595676"/>
            <w14:checkbox>
              <w14:checked w14:val="0"/>
              <w14:checkedState w14:val="2612" w14:font="MS Gothic"/>
              <w14:uncheckedState w14:val="2610" w14:font="MS Gothic"/>
            </w14:checkbox>
          </w:sdtPr>
          <w:sdtEndPr/>
          <w:sdtContent>
            <w:tc>
              <w:tcPr>
                <w:tcW w:w="567" w:type="dxa"/>
                <w:vAlign w:val="center"/>
              </w:tcPr>
              <w:p w14:paraId="44549DF2" w14:textId="77777777" w:rsidR="00211683" w:rsidRDefault="00211683" w:rsidP="00211683">
                <w:pPr>
                  <w:jc w:val="center"/>
                </w:pPr>
                <w:r>
                  <w:rPr>
                    <w:rFonts w:ascii="MS Gothic" w:eastAsia="MS Gothic" w:hAnsi="MS Gothic" w:hint="eastAsia"/>
                  </w:rPr>
                  <w:t>☐</w:t>
                </w:r>
              </w:p>
            </w:tc>
          </w:sdtContent>
        </w:sdt>
        <w:sdt>
          <w:sdtPr>
            <w:id w:val="490220933"/>
            <w14:checkbox>
              <w14:checked w14:val="0"/>
              <w14:checkedState w14:val="2612" w14:font="MS Gothic"/>
              <w14:uncheckedState w14:val="2610" w14:font="MS Gothic"/>
            </w14:checkbox>
          </w:sdtPr>
          <w:sdtEndPr/>
          <w:sdtContent>
            <w:tc>
              <w:tcPr>
                <w:tcW w:w="567" w:type="dxa"/>
                <w:vAlign w:val="center"/>
              </w:tcPr>
              <w:p w14:paraId="7D3C2840"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07E10934" w14:textId="77777777" w:rsidR="00211683" w:rsidRPr="00861D90" w:rsidRDefault="00211683" w:rsidP="00E26750">
            <w:pPr>
              <w:jc w:val="center"/>
            </w:pPr>
          </w:p>
        </w:tc>
      </w:tr>
      <w:tr w:rsidR="00211683" w:rsidRPr="00CB1CD7" w14:paraId="75826BFC" w14:textId="77777777" w:rsidTr="00CD0100">
        <w:tc>
          <w:tcPr>
            <w:tcW w:w="1980" w:type="dxa"/>
          </w:tcPr>
          <w:p w14:paraId="05AFC92C" w14:textId="77777777" w:rsidR="00211683" w:rsidRPr="00CB1CD7" w:rsidRDefault="00211683" w:rsidP="00CD0100">
            <w:pPr>
              <w:pStyle w:val="Listenabsatz"/>
              <w:numPr>
                <w:ilvl w:val="1"/>
                <w:numId w:val="1"/>
              </w:numPr>
              <w:ind w:left="458"/>
            </w:pPr>
            <w:r w:rsidRPr="00CB1CD7">
              <w:t>Identität</w:t>
            </w:r>
          </w:p>
        </w:tc>
        <w:tc>
          <w:tcPr>
            <w:tcW w:w="5641" w:type="dxa"/>
          </w:tcPr>
          <w:p w14:paraId="43C5406D" w14:textId="77777777" w:rsidR="00211683" w:rsidRPr="00CB1CD7" w:rsidRDefault="00211683" w:rsidP="00E26750">
            <w:pPr>
              <w:jc w:val="both"/>
            </w:pPr>
            <w:r w:rsidRPr="00CB1CD7">
              <w:t xml:space="preserve">Bei </w:t>
            </w:r>
            <w:r w:rsidRPr="007320F8">
              <w:rPr>
                <w:u w:val="single"/>
              </w:rPr>
              <w:t>gezielten</w:t>
            </w:r>
            <w:r w:rsidRPr="00CB1CD7">
              <w:t xml:space="preserve"> Tätigkeiten ist die Identität der verwendeten biologischen Arbeitsstoffe regelmäßig zu überprüfen und zu </w:t>
            </w:r>
            <w:r w:rsidRPr="00CB1CD7">
              <w:lastRenderedPageBreak/>
              <w:t>dokumentieren, sofern dies für die Beurteilung des Gefährdungspotenzials erforderlich ist. Dies ist nicht erforderlich, wenn bereits durch andere Verfahren, z.B. Zurückgreifen auf Masterkulturen, sichergestellt werden kann, dass die Identität erhalten bleibt.</w:t>
            </w:r>
          </w:p>
        </w:tc>
        <w:tc>
          <w:tcPr>
            <w:tcW w:w="1418" w:type="dxa"/>
          </w:tcPr>
          <w:p w14:paraId="01456C38" w14:textId="77777777" w:rsidR="00211683" w:rsidRPr="00CB1CD7" w:rsidRDefault="00211683" w:rsidP="00E26750">
            <w:r w:rsidRPr="00CB1CD7">
              <w:lastRenderedPageBreak/>
              <w:t>TRBA 100, 5.1 (9)</w:t>
            </w:r>
          </w:p>
        </w:tc>
        <w:sdt>
          <w:sdtPr>
            <w:id w:val="-637883033"/>
            <w14:checkbox>
              <w14:checked w14:val="0"/>
              <w14:checkedState w14:val="2612" w14:font="MS Gothic"/>
              <w14:uncheckedState w14:val="2610" w14:font="MS Gothic"/>
            </w14:checkbox>
          </w:sdtPr>
          <w:sdtEndPr/>
          <w:sdtContent>
            <w:tc>
              <w:tcPr>
                <w:tcW w:w="567" w:type="dxa"/>
                <w:vAlign w:val="center"/>
              </w:tcPr>
              <w:p w14:paraId="5F5552EB" w14:textId="77777777" w:rsidR="00211683" w:rsidRDefault="00211683" w:rsidP="00211683">
                <w:pPr>
                  <w:jc w:val="center"/>
                </w:pPr>
                <w:r>
                  <w:rPr>
                    <w:rFonts w:ascii="MS Gothic" w:eastAsia="MS Gothic" w:hAnsi="MS Gothic" w:hint="eastAsia"/>
                  </w:rPr>
                  <w:t>☐</w:t>
                </w:r>
              </w:p>
            </w:tc>
          </w:sdtContent>
        </w:sdt>
        <w:sdt>
          <w:sdtPr>
            <w:id w:val="-1560002238"/>
            <w14:checkbox>
              <w14:checked w14:val="0"/>
              <w14:checkedState w14:val="2612" w14:font="MS Gothic"/>
              <w14:uncheckedState w14:val="2610" w14:font="MS Gothic"/>
            </w14:checkbox>
          </w:sdtPr>
          <w:sdtEndPr/>
          <w:sdtContent>
            <w:tc>
              <w:tcPr>
                <w:tcW w:w="567" w:type="dxa"/>
                <w:vAlign w:val="center"/>
              </w:tcPr>
              <w:p w14:paraId="675AF283" w14:textId="77777777" w:rsidR="00211683" w:rsidRDefault="00211683" w:rsidP="00211683">
                <w:pPr>
                  <w:jc w:val="center"/>
                </w:pPr>
                <w:r>
                  <w:rPr>
                    <w:rFonts w:ascii="MS Gothic" w:eastAsia="MS Gothic" w:hAnsi="MS Gothic" w:hint="eastAsia"/>
                  </w:rPr>
                  <w:t>☐</w:t>
                </w:r>
              </w:p>
            </w:tc>
          </w:sdtContent>
        </w:sdt>
        <w:sdt>
          <w:sdtPr>
            <w:id w:val="1950897436"/>
            <w14:checkbox>
              <w14:checked w14:val="0"/>
              <w14:checkedState w14:val="2612" w14:font="MS Gothic"/>
              <w14:uncheckedState w14:val="2610" w14:font="MS Gothic"/>
            </w14:checkbox>
          </w:sdtPr>
          <w:sdtEndPr/>
          <w:sdtContent>
            <w:tc>
              <w:tcPr>
                <w:tcW w:w="567" w:type="dxa"/>
                <w:vAlign w:val="center"/>
              </w:tcPr>
              <w:p w14:paraId="27167B89"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248DF87C" w14:textId="77777777" w:rsidR="00211683" w:rsidRPr="00861D90" w:rsidRDefault="00211683" w:rsidP="00E26750">
            <w:pPr>
              <w:jc w:val="center"/>
            </w:pPr>
          </w:p>
        </w:tc>
      </w:tr>
      <w:tr w:rsidR="00211683" w:rsidRPr="00CB1CD7" w14:paraId="29AA9FEC" w14:textId="77777777" w:rsidTr="00CD0100">
        <w:tc>
          <w:tcPr>
            <w:tcW w:w="1980" w:type="dxa"/>
          </w:tcPr>
          <w:p w14:paraId="27759291" w14:textId="77777777" w:rsidR="00211683" w:rsidRPr="00CB1CD7" w:rsidRDefault="00211683" w:rsidP="00CD0100">
            <w:pPr>
              <w:pStyle w:val="Listenabsatz"/>
              <w:numPr>
                <w:ilvl w:val="1"/>
                <w:numId w:val="1"/>
              </w:numPr>
              <w:ind w:left="458"/>
            </w:pPr>
            <w:r w:rsidRPr="00CB1CD7">
              <w:t>Wartung, Prüfpflichten</w:t>
            </w:r>
          </w:p>
        </w:tc>
        <w:tc>
          <w:tcPr>
            <w:tcW w:w="5641" w:type="dxa"/>
          </w:tcPr>
          <w:p w14:paraId="64848D6E" w14:textId="77777777" w:rsidR="00211683" w:rsidRPr="00CB1CD7" w:rsidRDefault="00211683" w:rsidP="00E26750">
            <w:pPr>
              <w:jc w:val="both"/>
            </w:pPr>
            <w:r w:rsidRPr="00CB1CD7">
              <w:t>Sicherheitsrelevante Geräte und Anlagen wie z.B. mikrobiologische Sicherheitswerkbänke (MSW), prüfpflichtige Laborzentrifugen, Autoklaven und raumlufttechnische Anlagen sind instand zu halten. Dies erfordert die regelmäßige Überprüfung ihrer Funktionstüchtigkeit bzw. Betriebssicherheit und, falls erforderlich, ihre Instandsetzung.</w:t>
            </w:r>
          </w:p>
        </w:tc>
        <w:tc>
          <w:tcPr>
            <w:tcW w:w="1418" w:type="dxa"/>
          </w:tcPr>
          <w:p w14:paraId="4C329D1C" w14:textId="77777777" w:rsidR="00211683" w:rsidRPr="00CB1CD7" w:rsidRDefault="00211683" w:rsidP="00E26750">
            <w:r w:rsidRPr="00CB1CD7">
              <w:t>TRBA 100, 5.1 (4); BetrSichV; DGUV-I 213-086, 6.15</w:t>
            </w:r>
          </w:p>
        </w:tc>
        <w:sdt>
          <w:sdtPr>
            <w:id w:val="-830606288"/>
            <w14:checkbox>
              <w14:checked w14:val="0"/>
              <w14:checkedState w14:val="2612" w14:font="MS Gothic"/>
              <w14:uncheckedState w14:val="2610" w14:font="MS Gothic"/>
            </w14:checkbox>
          </w:sdtPr>
          <w:sdtEndPr/>
          <w:sdtContent>
            <w:tc>
              <w:tcPr>
                <w:tcW w:w="567" w:type="dxa"/>
                <w:vAlign w:val="center"/>
              </w:tcPr>
              <w:p w14:paraId="4CC22771" w14:textId="77777777" w:rsidR="00211683" w:rsidRDefault="00211683" w:rsidP="00211683">
                <w:pPr>
                  <w:jc w:val="center"/>
                </w:pPr>
                <w:r>
                  <w:rPr>
                    <w:rFonts w:ascii="MS Gothic" w:eastAsia="MS Gothic" w:hAnsi="MS Gothic" w:hint="eastAsia"/>
                  </w:rPr>
                  <w:t>☐</w:t>
                </w:r>
              </w:p>
            </w:tc>
          </w:sdtContent>
        </w:sdt>
        <w:sdt>
          <w:sdtPr>
            <w:id w:val="1368562633"/>
            <w14:checkbox>
              <w14:checked w14:val="0"/>
              <w14:checkedState w14:val="2612" w14:font="MS Gothic"/>
              <w14:uncheckedState w14:val="2610" w14:font="MS Gothic"/>
            </w14:checkbox>
          </w:sdtPr>
          <w:sdtEndPr/>
          <w:sdtContent>
            <w:tc>
              <w:tcPr>
                <w:tcW w:w="567" w:type="dxa"/>
                <w:vAlign w:val="center"/>
              </w:tcPr>
              <w:p w14:paraId="4F7005F2" w14:textId="77777777" w:rsidR="00211683" w:rsidRDefault="00211683" w:rsidP="00211683">
                <w:pPr>
                  <w:jc w:val="center"/>
                </w:pPr>
                <w:r>
                  <w:rPr>
                    <w:rFonts w:ascii="MS Gothic" w:eastAsia="MS Gothic" w:hAnsi="MS Gothic" w:hint="eastAsia"/>
                  </w:rPr>
                  <w:t>☐</w:t>
                </w:r>
              </w:p>
            </w:tc>
          </w:sdtContent>
        </w:sdt>
        <w:sdt>
          <w:sdtPr>
            <w:id w:val="1967784303"/>
            <w14:checkbox>
              <w14:checked w14:val="0"/>
              <w14:checkedState w14:val="2612" w14:font="MS Gothic"/>
              <w14:uncheckedState w14:val="2610" w14:font="MS Gothic"/>
            </w14:checkbox>
          </w:sdtPr>
          <w:sdtEndPr/>
          <w:sdtContent>
            <w:tc>
              <w:tcPr>
                <w:tcW w:w="567" w:type="dxa"/>
                <w:vAlign w:val="center"/>
              </w:tcPr>
              <w:p w14:paraId="17A10456"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17300E8B" w14:textId="77777777" w:rsidR="00211683" w:rsidRPr="00861D90" w:rsidRDefault="00211683" w:rsidP="00E26750">
            <w:pPr>
              <w:jc w:val="center"/>
            </w:pPr>
          </w:p>
        </w:tc>
      </w:tr>
      <w:tr w:rsidR="00211683" w:rsidRPr="00CB1CD7" w14:paraId="30E43B81" w14:textId="77777777" w:rsidTr="00CD0100">
        <w:tc>
          <w:tcPr>
            <w:tcW w:w="1980" w:type="dxa"/>
          </w:tcPr>
          <w:p w14:paraId="11C5E7C5" w14:textId="77777777" w:rsidR="00211683" w:rsidRPr="00CB1CD7" w:rsidRDefault="00211683" w:rsidP="00CD0100">
            <w:pPr>
              <w:pStyle w:val="Listenabsatz"/>
              <w:numPr>
                <w:ilvl w:val="1"/>
                <w:numId w:val="1"/>
              </w:numPr>
              <w:ind w:left="458"/>
            </w:pPr>
            <w:r w:rsidRPr="00CB1CD7">
              <w:t>Unterwei-sungen</w:t>
            </w:r>
          </w:p>
        </w:tc>
        <w:tc>
          <w:tcPr>
            <w:tcW w:w="5641" w:type="dxa"/>
          </w:tcPr>
          <w:p w14:paraId="70592B88" w14:textId="77777777" w:rsidR="00211683" w:rsidRPr="00CB1CD7" w:rsidRDefault="00211683" w:rsidP="00E26750">
            <w:pPr>
              <w:jc w:val="both"/>
            </w:pPr>
            <w:r w:rsidRPr="00CB1CD7">
              <w:t xml:space="preserve">Alle in Laboratorien tätige Beschäftigte einschließlich der Beschäftigten von Fremdfirmen und sonstige Personen (z.B. Praktikanten) sind über die bei ihren Tätigkeiten mit biologischen Arbeitsstoffen auftretenden Gefährdungen und die erforderlichen Schutzmaßnahmen zu unterweisen. Dies hat vor Aufnahme und bei maßgeblichen Änderungen der Tätigkeiten und danach in regelmäßigen Abständen, mindestens jedoch jährlich, in mündlicher Weise und arbeitsplatzbezogen zu geschehen. Die Unterweisung erfolgt auf der Grundlage der Betriebsanweisung und der betrieblichen Hygienemaßnahmen (Hygieneplan). </w:t>
            </w:r>
            <w:r w:rsidRPr="00DC1759">
              <w:rPr>
                <w:b/>
              </w:rPr>
              <w:t>Inhalt und Zeitpunkt der Unterweisungen sind schriftlich festzuhalten und von den Unterwiesenen durch Unterschrift zu bestätigen</w:t>
            </w:r>
            <w:r w:rsidRPr="00CB1CD7">
              <w:t xml:space="preserve">. Die Unterweisung </w:t>
            </w:r>
            <w:r w:rsidRPr="00CB1CD7">
              <w:lastRenderedPageBreak/>
              <w:t>soll so gestaltet sein, dass das Sicherheitsbewusstsein der Beschäftigten gestärkt wird. Die Umsetzung der Unterweisungsinhalte ist zu kontrollieren. Im Rahmen der Unterweisung soll auch eine allgemeine arbeitsmedizinische Beratung durchgeführt werden</w:t>
            </w:r>
          </w:p>
        </w:tc>
        <w:tc>
          <w:tcPr>
            <w:tcW w:w="1418" w:type="dxa"/>
          </w:tcPr>
          <w:p w14:paraId="27E7FEBD" w14:textId="77777777" w:rsidR="00211683" w:rsidRPr="00CB1CD7" w:rsidRDefault="00211683" w:rsidP="00E26750">
            <w:r w:rsidRPr="00CB1CD7">
              <w:lastRenderedPageBreak/>
              <w:t>TRBA 100, 5.1 (7)</w:t>
            </w:r>
          </w:p>
        </w:tc>
        <w:sdt>
          <w:sdtPr>
            <w:id w:val="-564266954"/>
            <w14:checkbox>
              <w14:checked w14:val="0"/>
              <w14:checkedState w14:val="2612" w14:font="MS Gothic"/>
              <w14:uncheckedState w14:val="2610" w14:font="MS Gothic"/>
            </w14:checkbox>
          </w:sdtPr>
          <w:sdtEndPr/>
          <w:sdtContent>
            <w:tc>
              <w:tcPr>
                <w:tcW w:w="567" w:type="dxa"/>
                <w:vAlign w:val="center"/>
              </w:tcPr>
              <w:p w14:paraId="0A2455BB" w14:textId="77777777" w:rsidR="00211683" w:rsidRDefault="00211683" w:rsidP="00211683">
                <w:pPr>
                  <w:jc w:val="center"/>
                </w:pPr>
                <w:r>
                  <w:rPr>
                    <w:rFonts w:ascii="MS Gothic" w:eastAsia="MS Gothic" w:hAnsi="MS Gothic" w:hint="eastAsia"/>
                  </w:rPr>
                  <w:t>☐</w:t>
                </w:r>
              </w:p>
            </w:tc>
          </w:sdtContent>
        </w:sdt>
        <w:sdt>
          <w:sdtPr>
            <w:id w:val="-1371294831"/>
            <w14:checkbox>
              <w14:checked w14:val="0"/>
              <w14:checkedState w14:val="2612" w14:font="MS Gothic"/>
              <w14:uncheckedState w14:val="2610" w14:font="MS Gothic"/>
            </w14:checkbox>
          </w:sdtPr>
          <w:sdtEndPr/>
          <w:sdtContent>
            <w:tc>
              <w:tcPr>
                <w:tcW w:w="567" w:type="dxa"/>
                <w:vAlign w:val="center"/>
              </w:tcPr>
              <w:p w14:paraId="2EF99BD6" w14:textId="77777777" w:rsidR="00211683" w:rsidRDefault="00211683" w:rsidP="00211683">
                <w:pPr>
                  <w:jc w:val="center"/>
                </w:pPr>
                <w:r>
                  <w:rPr>
                    <w:rFonts w:ascii="MS Gothic" w:eastAsia="MS Gothic" w:hAnsi="MS Gothic" w:hint="eastAsia"/>
                  </w:rPr>
                  <w:t>☐</w:t>
                </w:r>
              </w:p>
            </w:tc>
          </w:sdtContent>
        </w:sdt>
        <w:sdt>
          <w:sdtPr>
            <w:id w:val="1631510197"/>
            <w14:checkbox>
              <w14:checked w14:val="0"/>
              <w14:checkedState w14:val="2612" w14:font="MS Gothic"/>
              <w14:uncheckedState w14:val="2610" w14:font="MS Gothic"/>
            </w14:checkbox>
          </w:sdtPr>
          <w:sdtEndPr/>
          <w:sdtContent>
            <w:tc>
              <w:tcPr>
                <w:tcW w:w="567" w:type="dxa"/>
                <w:vAlign w:val="center"/>
              </w:tcPr>
              <w:p w14:paraId="38DC1D5C"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6F5F2A3C" w14:textId="77777777" w:rsidR="00211683" w:rsidRPr="00861D90" w:rsidRDefault="00211683" w:rsidP="00E26750">
            <w:pPr>
              <w:jc w:val="center"/>
            </w:pPr>
          </w:p>
        </w:tc>
      </w:tr>
      <w:tr w:rsidR="00211683" w:rsidRPr="00CB1CD7" w14:paraId="05061954" w14:textId="77777777" w:rsidTr="00211683">
        <w:tc>
          <w:tcPr>
            <w:tcW w:w="10740" w:type="dxa"/>
            <w:gridSpan w:val="6"/>
            <w:shd w:val="clear" w:color="auto" w:fill="D9D9D9" w:themeFill="background1" w:themeFillShade="D9"/>
          </w:tcPr>
          <w:p w14:paraId="3ECB9982" w14:textId="77777777" w:rsidR="00211683" w:rsidRPr="00CB1CD7" w:rsidRDefault="00211683" w:rsidP="00852095">
            <w:pPr>
              <w:pStyle w:val="Listenabsatz"/>
              <w:numPr>
                <w:ilvl w:val="0"/>
                <w:numId w:val="1"/>
              </w:numPr>
              <w:jc w:val="both"/>
              <w:rPr>
                <w:b/>
              </w:rPr>
            </w:pPr>
            <w:r w:rsidRPr="00CB1CD7">
              <w:rPr>
                <w:b/>
              </w:rPr>
              <w:t>Hygiene</w:t>
            </w:r>
            <w:r>
              <w:rPr>
                <w:b/>
              </w:rPr>
              <w:t xml:space="preserve"> und Entsorgung</w:t>
            </w:r>
          </w:p>
        </w:tc>
        <w:tc>
          <w:tcPr>
            <w:tcW w:w="3259" w:type="dxa"/>
            <w:shd w:val="clear" w:color="auto" w:fill="D9D9D9" w:themeFill="background1" w:themeFillShade="D9"/>
          </w:tcPr>
          <w:p w14:paraId="23CCDB4F" w14:textId="77777777" w:rsidR="00211683" w:rsidRPr="00861D90" w:rsidRDefault="00211683" w:rsidP="00E26750">
            <w:pPr>
              <w:jc w:val="both"/>
            </w:pPr>
          </w:p>
        </w:tc>
      </w:tr>
      <w:tr w:rsidR="00211683" w:rsidRPr="00CB1CD7" w14:paraId="0471F09A" w14:textId="77777777" w:rsidTr="00CD0100">
        <w:trPr>
          <w:trHeight w:val="1227"/>
        </w:trPr>
        <w:tc>
          <w:tcPr>
            <w:tcW w:w="1980" w:type="dxa"/>
          </w:tcPr>
          <w:p w14:paraId="560664C3" w14:textId="77777777" w:rsidR="00211683" w:rsidRPr="00E358C1" w:rsidRDefault="00211683" w:rsidP="00CD0100">
            <w:pPr>
              <w:pStyle w:val="Listenabsatz"/>
              <w:numPr>
                <w:ilvl w:val="1"/>
                <w:numId w:val="1"/>
              </w:numPr>
              <w:ind w:left="458"/>
              <w:rPr>
                <w:b/>
              </w:rPr>
            </w:pPr>
            <w:r w:rsidRPr="00E358C1">
              <w:rPr>
                <w:b/>
              </w:rPr>
              <w:t>Hygieneplan</w:t>
            </w:r>
          </w:p>
        </w:tc>
        <w:tc>
          <w:tcPr>
            <w:tcW w:w="5641" w:type="dxa"/>
          </w:tcPr>
          <w:p w14:paraId="4AD4D82F" w14:textId="77777777" w:rsidR="00102693" w:rsidRDefault="00211683" w:rsidP="00102693">
            <w:pPr>
              <w:pStyle w:val="Listenabsatz"/>
              <w:numPr>
                <w:ilvl w:val="0"/>
                <w:numId w:val="43"/>
              </w:numPr>
              <w:ind w:left="310"/>
              <w:jc w:val="both"/>
            </w:pPr>
            <w:r w:rsidRPr="00CB1CD7">
              <w:t xml:space="preserve">Die betrieblichen Hygienemaßnahmen </w:t>
            </w:r>
            <w:r w:rsidR="00E31C83">
              <w:t xml:space="preserve">(inkl. Hautschutz) </w:t>
            </w:r>
            <w:r w:rsidRPr="00CB1CD7">
              <w:t xml:space="preserve">sind bei Tätigkeiten mit sensibilisierend oder toxisch wirkenden biologischen Arbeitsstoffen sowie bei Tätigkeiten in der Schutzstufe 2 und höher in einem Hygieneplan festzuhalten. Die speziellen Reinigungs- und Dekontaminationsverfahren sind dabei zu präzisieren. </w:t>
            </w:r>
          </w:p>
          <w:p w14:paraId="72E2A2A6" w14:textId="77777777" w:rsidR="00102693" w:rsidRDefault="00211683" w:rsidP="00102693">
            <w:pPr>
              <w:pStyle w:val="Listenabsatz"/>
              <w:numPr>
                <w:ilvl w:val="0"/>
                <w:numId w:val="43"/>
              </w:numPr>
              <w:ind w:left="310"/>
              <w:jc w:val="both"/>
            </w:pPr>
            <w:r w:rsidRPr="00CB1CD7">
              <w:t>Der Hygieneplan ist in geeignete</w:t>
            </w:r>
            <w:r>
              <w:t>r Weise bekannt zu machen [Aushang]</w:t>
            </w:r>
            <w:r w:rsidRPr="00CB1CD7">
              <w:t xml:space="preserve">. </w:t>
            </w:r>
          </w:p>
          <w:p w14:paraId="15A681E3" w14:textId="627663E1" w:rsidR="00E31C83" w:rsidRPr="00CB1CD7" w:rsidRDefault="00211683" w:rsidP="00102693">
            <w:pPr>
              <w:pStyle w:val="Listenabsatz"/>
              <w:numPr>
                <w:ilvl w:val="0"/>
                <w:numId w:val="43"/>
              </w:numPr>
              <w:ind w:left="310"/>
              <w:jc w:val="both"/>
            </w:pPr>
            <w:r w:rsidRPr="00CB1CD7">
              <w:t>Seine Einhaltung ist zu kontrollieren.</w:t>
            </w:r>
          </w:p>
        </w:tc>
        <w:tc>
          <w:tcPr>
            <w:tcW w:w="1418" w:type="dxa"/>
          </w:tcPr>
          <w:p w14:paraId="2FD1A62D" w14:textId="77777777" w:rsidR="00211683" w:rsidRPr="00CB1CD7" w:rsidRDefault="00211683" w:rsidP="00E26750">
            <w:r w:rsidRPr="00CB1CD7">
              <w:t>TRBA 100, 5.1 (5)</w:t>
            </w:r>
          </w:p>
        </w:tc>
        <w:sdt>
          <w:sdtPr>
            <w:id w:val="1184089199"/>
            <w14:checkbox>
              <w14:checked w14:val="0"/>
              <w14:checkedState w14:val="2612" w14:font="MS Gothic"/>
              <w14:uncheckedState w14:val="2610" w14:font="MS Gothic"/>
            </w14:checkbox>
          </w:sdtPr>
          <w:sdtEndPr/>
          <w:sdtContent>
            <w:tc>
              <w:tcPr>
                <w:tcW w:w="567" w:type="dxa"/>
                <w:vAlign w:val="center"/>
              </w:tcPr>
              <w:p w14:paraId="18E0D57B" w14:textId="77777777" w:rsidR="00211683" w:rsidRDefault="00211683" w:rsidP="00211683">
                <w:pPr>
                  <w:jc w:val="center"/>
                </w:pPr>
                <w:r>
                  <w:rPr>
                    <w:rFonts w:ascii="MS Gothic" w:eastAsia="MS Gothic" w:hAnsi="MS Gothic" w:hint="eastAsia"/>
                  </w:rPr>
                  <w:t>☐</w:t>
                </w:r>
              </w:p>
            </w:tc>
          </w:sdtContent>
        </w:sdt>
        <w:sdt>
          <w:sdtPr>
            <w:id w:val="1174139162"/>
            <w14:checkbox>
              <w14:checked w14:val="0"/>
              <w14:checkedState w14:val="2612" w14:font="MS Gothic"/>
              <w14:uncheckedState w14:val="2610" w14:font="MS Gothic"/>
            </w14:checkbox>
          </w:sdtPr>
          <w:sdtEndPr/>
          <w:sdtContent>
            <w:tc>
              <w:tcPr>
                <w:tcW w:w="567" w:type="dxa"/>
                <w:vAlign w:val="center"/>
              </w:tcPr>
              <w:p w14:paraId="046A8DF4" w14:textId="77777777" w:rsidR="00211683" w:rsidRDefault="00211683" w:rsidP="00211683">
                <w:pPr>
                  <w:jc w:val="center"/>
                </w:pPr>
                <w:r>
                  <w:rPr>
                    <w:rFonts w:ascii="MS Gothic" w:eastAsia="MS Gothic" w:hAnsi="MS Gothic" w:hint="eastAsia"/>
                  </w:rPr>
                  <w:t>☐</w:t>
                </w:r>
              </w:p>
            </w:tc>
          </w:sdtContent>
        </w:sdt>
        <w:sdt>
          <w:sdtPr>
            <w:id w:val="1691870767"/>
            <w14:checkbox>
              <w14:checked w14:val="0"/>
              <w14:checkedState w14:val="2612" w14:font="MS Gothic"/>
              <w14:uncheckedState w14:val="2610" w14:font="MS Gothic"/>
            </w14:checkbox>
          </w:sdtPr>
          <w:sdtEndPr/>
          <w:sdtContent>
            <w:tc>
              <w:tcPr>
                <w:tcW w:w="567" w:type="dxa"/>
                <w:vAlign w:val="center"/>
              </w:tcPr>
              <w:p w14:paraId="06D47AF2"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207D5D53" w14:textId="77777777" w:rsidR="00211683" w:rsidRPr="00861D90" w:rsidRDefault="00211683" w:rsidP="00E26750">
            <w:pPr>
              <w:jc w:val="center"/>
            </w:pPr>
          </w:p>
        </w:tc>
      </w:tr>
      <w:tr w:rsidR="00211683" w:rsidRPr="00CB1CD7" w14:paraId="2E2DD855" w14:textId="77777777" w:rsidTr="00CD0100">
        <w:trPr>
          <w:trHeight w:val="1227"/>
        </w:trPr>
        <w:tc>
          <w:tcPr>
            <w:tcW w:w="1980" w:type="dxa"/>
            <w:vMerge w:val="restart"/>
          </w:tcPr>
          <w:p w14:paraId="2228074F" w14:textId="77777777" w:rsidR="00211683" w:rsidRPr="00CB1CD7" w:rsidRDefault="00211683" w:rsidP="00CD0100">
            <w:pPr>
              <w:pStyle w:val="Listenabsatz"/>
              <w:numPr>
                <w:ilvl w:val="1"/>
                <w:numId w:val="1"/>
              </w:numPr>
              <w:ind w:left="458"/>
            </w:pPr>
            <w:r w:rsidRPr="00CB1CD7">
              <w:t>Allgemein</w:t>
            </w:r>
          </w:p>
        </w:tc>
        <w:tc>
          <w:tcPr>
            <w:tcW w:w="5641" w:type="dxa"/>
          </w:tcPr>
          <w:p w14:paraId="74AD207C" w14:textId="77777777" w:rsidR="00211683" w:rsidRPr="00CB1CD7" w:rsidRDefault="00211683" w:rsidP="00F84C73">
            <w:pPr>
              <w:jc w:val="both"/>
            </w:pPr>
            <w:r w:rsidRPr="00CB1CD7">
              <w:t xml:space="preserve">Nach Abschluss der Arbeiten sind die Hände auch nach dem Tragen von Schutzhandschuhen zu desinfizieren und entsprechend Hautschutzplan </w:t>
            </w:r>
            <w:r>
              <w:t xml:space="preserve">[Teil des Hygieneplans] </w:t>
            </w:r>
            <w:r w:rsidRPr="00CB1CD7">
              <w:t>zu pflegen. Hautschutz- und Hautpflegemittel sind in kontaminationsgeschützten Behältnissen,</w:t>
            </w:r>
            <w:r>
              <w:t xml:space="preserve"> </w:t>
            </w:r>
            <w:r w:rsidRPr="00CB1CD7">
              <w:t>z.B. Tuben, zur Verfügung zu stellen.</w:t>
            </w:r>
          </w:p>
        </w:tc>
        <w:tc>
          <w:tcPr>
            <w:tcW w:w="1418" w:type="dxa"/>
          </w:tcPr>
          <w:p w14:paraId="30C43D7E" w14:textId="77777777" w:rsidR="00211683" w:rsidRPr="00CB1CD7" w:rsidRDefault="00211683" w:rsidP="00E26750">
            <w:r w:rsidRPr="00CB1CD7">
              <w:t>TRBA 100, 5.3 (16)</w:t>
            </w:r>
          </w:p>
        </w:tc>
        <w:sdt>
          <w:sdtPr>
            <w:id w:val="838430634"/>
            <w14:checkbox>
              <w14:checked w14:val="0"/>
              <w14:checkedState w14:val="2612" w14:font="MS Gothic"/>
              <w14:uncheckedState w14:val="2610" w14:font="MS Gothic"/>
            </w14:checkbox>
          </w:sdtPr>
          <w:sdtEndPr/>
          <w:sdtContent>
            <w:tc>
              <w:tcPr>
                <w:tcW w:w="567" w:type="dxa"/>
                <w:vAlign w:val="center"/>
              </w:tcPr>
              <w:p w14:paraId="7377DBC5" w14:textId="77777777" w:rsidR="00211683" w:rsidRDefault="00211683" w:rsidP="00211683">
                <w:pPr>
                  <w:jc w:val="center"/>
                </w:pPr>
                <w:r>
                  <w:rPr>
                    <w:rFonts w:ascii="MS Gothic" w:eastAsia="MS Gothic" w:hAnsi="MS Gothic" w:hint="eastAsia"/>
                  </w:rPr>
                  <w:t>☐</w:t>
                </w:r>
              </w:p>
            </w:tc>
          </w:sdtContent>
        </w:sdt>
        <w:sdt>
          <w:sdtPr>
            <w:id w:val="584107346"/>
            <w14:checkbox>
              <w14:checked w14:val="0"/>
              <w14:checkedState w14:val="2612" w14:font="MS Gothic"/>
              <w14:uncheckedState w14:val="2610" w14:font="MS Gothic"/>
            </w14:checkbox>
          </w:sdtPr>
          <w:sdtEndPr/>
          <w:sdtContent>
            <w:tc>
              <w:tcPr>
                <w:tcW w:w="567" w:type="dxa"/>
                <w:vAlign w:val="center"/>
              </w:tcPr>
              <w:p w14:paraId="5836FBF7" w14:textId="77777777" w:rsidR="00211683" w:rsidRDefault="00211683" w:rsidP="00211683">
                <w:pPr>
                  <w:jc w:val="center"/>
                </w:pPr>
                <w:r>
                  <w:rPr>
                    <w:rFonts w:ascii="MS Gothic" w:eastAsia="MS Gothic" w:hAnsi="MS Gothic" w:hint="eastAsia"/>
                  </w:rPr>
                  <w:t>☐</w:t>
                </w:r>
              </w:p>
            </w:tc>
          </w:sdtContent>
        </w:sdt>
        <w:sdt>
          <w:sdtPr>
            <w:id w:val="-1531257460"/>
            <w14:checkbox>
              <w14:checked w14:val="0"/>
              <w14:checkedState w14:val="2612" w14:font="MS Gothic"/>
              <w14:uncheckedState w14:val="2610" w14:font="MS Gothic"/>
            </w14:checkbox>
          </w:sdtPr>
          <w:sdtEndPr/>
          <w:sdtContent>
            <w:tc>
              <w:tcPr>
                <w:tcW w:w="567" w:type="dxa"/>
                <w:vAlign w:val="center"/>
              </w:tcPr>
              <w:p w14:paraId="506D260B"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065962BE" w14:textId="77777777" w:rsidR="00211683" w:rsidRPr="00861D90" w:rsidRDefault="00211683" w:rsidP="00E26750">
            <w:pPr>
              <w:jc w:val="center"/>
            </w:pPr>
          </w:p>
        </w:tc>
      </w:tr>
      <w:tr w:rsidR="00211683" w:rsidRPr="00CB1CD7" w14:paraId="23FBB6E5" w14:textId="77777777" w:rsidTr="00CD0100">
        <w:trPr>
          <w:trHeight w:val="1227"/>
        </w:trPr>
        <w:tc>
          <w:tcPr>
            <w:tcW w:w="1980" w:type="dxa"/>
            <w:vMerge/>
          </w:tcPr>
          <w:p w14:paraId="2FD10F65" w14:textId="77777777" w:rsidR="00211683" w:rsidRPr="00CB1CD7" w:rsidRDefault="00211683" w:rsidP="00E26750"/>
        </w:tc>
        <w:tc>
          <w:tcPr>
            <w:tcW w:w="5641" w:type="dxa"/>
          </w:tcPr>
          <w:p w14:paraId="0248595B" w14:textId="77777777" w:rsidR="00211683" w:rsidRPr="00CB1CD7" w:rsidRDefault="00211683" w:rsidP="00E26750">
            <w:pPr>
              <w:jc w:val="both"/>
            </w:pPr>
            <w:r w:rsidRPr="00CB1CD7">
              <w:t>Bei Tätigkeiten, die eine Händedesinfektion oder das Tragen von Handschuhen erfordern, dürfen an Händen und Unterarmen keine Schmuckstücke, Uhren und Eheringe getragen werden. Fingernägel müssen kurzgeschnitten sein.</w:t>
            </w:r>
          </w:p>
        </w:tc>
        <w:tc>
          <w:tcPr>
            <w:tcW w:w="1418" w:type="dxa"/>
          </w:tcPr>
          <w:p w14:paraId="2C98AC5C" w14:textId="77777777" w:rsidR="00211683" w:rsidRPr="00CB1CD7" w:rsidRDefault="00211683" w:rsidP="00E26750">
            <w:r w:rsidRPr="00CB1CD7">
              <w:t>TRBA 100, 5.3 (17)</w:t>
            </w:r>
          </w:p>
        </w:tc>
        <w:sdt>
          <w:sdtPr>
            <w:id w:val="-769551555"/>
            <w14:checkbox>
              <w14:checked w14:val="0"/>
              <w14:checkedState w14:val="2612" w14:font="MS Gothic"/>
              <w14:uncheckedState w14:val="2610" w14:font="MS Gothic"/>
            </w14:checkbox>
          </w:sdtPr>
          <w:sdtEndPr/>
          <w:sdtContent>
            <w:tc>
              <w:tcPr>
                <w:tcW w:w="567" w:type="dxa"/>
                <w:vAlign w:val="center"/>
              </w:tcPr>
              <w:p w14:paraId="78191705" w14:textId="77777777" w:rsidR="00211683" w:rsidRPr="00CB1CD7" w:rsidRDefault="00211683" w:rsidP="00211683">
                <w:pPr>
                  <w:jc w:val="center"/>
                </w:pPr>
                <w:r>
                  <w:rPr>
                    <w:rFonts w:ascii="MS Gothic" w:eastAsia="MS Gothic" w:hAnsi="MS Gothic" w:hint="eastAsia"/>
                  </w:rPr>
                  <w:t>☐</w:t>
                </w:r>
              </w:p>
            </w:tc>
          </w:sdtContent>
        </w:sdt>
        <w:sdt>
          <w:sdtPr>
            <w:id w:val="-239028041"/>
            <w14:checkbox>
              <w14:checked w14:val="0"/>
              <w14:checkedState w14:val="2612" w14:font="MS Gothic"/>
              <w14:uncheckedState w14:val="2610" w14:font="MS Gothic"/>
            </w14:checkbox>
          </w:sdtPr>
          <w:sdtEndPr/>
          <w:sdtContent>
            <w:tc>
              <w:tcPr>
                <w:tcW w:w="567" w:type="dxa"/>
                <w:vAlign w:val="center"/>
              </w:tcPr>
              <w:p w14:paraId="7595043D" w14:textId="77777777" w:rsidR="00211683" w:rsidRPr="00CB1CD7" w:rsidRDefault="00211683" w:rsidP="00211683">
                <w:pPr>
                  <w:jc w:val="center"/>
                </w:pPr>
                <w:r>
                  <w:rPr>
                    <w:rFonts w:ascii="MS Gothic" w:eastAsia="MS Gothic" w:hAnsi="MS Gothic" w:hint="eastAsia"/>
                  </w:rPr>
                  <w:t>☐</w:t>
                </w:r>
              </w:p>
            </w:tc>
          </w:sdtContent>
        </w:sdt>
        <w:sdt>
          <w:sdtPr>
            <w:id w:val="-1245796477"/>
            <w14:checkbox>
              <w14:checked w14:val="0"/>
              <w14:checkedState w14:val="2612" w14:font="MS Gothic"/>
              <w14:uncheckedState w14:val="2610" w14:font="MS Gothic"/>
            </w14:checkbox>
          </w:sdtPr>
          <w:sdtEndPr/>
          <w:sdtContent>
            <w:tc>
              <w:tcPr>
                <w:tcW w:w="567" w:type="dxa"/>
                <w:vAlign w:val="center"/>
              </w:tcPr>
              <w:p w14:paraId="70D087E0" w14:textId="77777777" w:rsidR="00211683" w:rsidRPr="00CB1CD7" w:rsidRDefault="00211683" w:rsidP="00211683">
                <w:pPr>
                  <w:jc w:val="center"/>
                </w:pPr>
                <w:r>
                  <w:rPr>
                    <w:rFonts w:ascii="MS Gothic" w:eastAsia="MS Gothic" w:hAnsi="MS Gothic" w:hint="eastAsia"/>
                  </w:rPr>
                  <w:t>☐</w:t>
                </w:r>
              </w:p>
            </w:tc>
          </w:sdtContent>
        </w:sdt>
        <w:tc>
          <w:tcPr>
            <w:tcW w:w="3259" w:type="dxa"/>
          </w:tcPr>
          <w:p w14:paraId="0AF995FD" w14:textId="77777777" w:rsidR="00211683" w:rsidRPr="00861D90" w:rsidRDefault="00211683" w:rsidP="00E26750">
            <w:pPr>
              <w:jc w:val="center"/>
            </w:pPr>
          </w:p>
        </w:tc>
      </w:tr>
      <w:tr w:rsidR="00211683" w:rsidRPr="00CB1CD7" w14:paraId="3FE983E3" w14:textId="77777777" w:rsidTr="00CD0100">
        <w:trPr>
          <w:trHeight w:val="1587"/>
        </w:trPr>
        <w:tc>
          <w:tcPr>
            <w:tcW w:w="1980" w:type="dxa"/>
            <w:tcBorders>
              <w:bottom w:val="single" w:sz="4" w:space="0" w:color="auto"/>
            </w:tcBorders>
            <w:shd w:val="clear" w:color="auto" w:fill="auto"/>
          </w:tcPr>
          <w:p w14:paraId="0AA43A93" w14:textId="77777777" w:rsidR="00211683" w:rsidRPr="00CB1CD7" w:rsidRDefault="00211683" w:rsidP="00CD0100">
            <w:pPr>
              <w:pStyle w:val="Listenabsatz"/>
              <w:numPr>
                <w:ilvl w:val="1"/>
                <w:numId w:val="1"/>
              </w:numPr>
              <w:ind w:left="458"/>
            </w:pPr>
            <w:r w:rsidRPr="00CB1CD7">
              <w:t>Instandsetzungsarbeiten</w:t>
            </w:r>
          </w:p>
        </w:tc>
        <w:tc>
          <w:tcPr>
            <w:tcW w:w="5641" w:type="dxa"/>
            <w:tcBorders>
              <w:bottom w:val="single" w:sz="4" w:space="0" w:color="auto"/>
            </w:tcBorders>
            <w:shd w:val="clear" w:color="auto" w:fill="auto"/>
          </w:tcPr>
          <w:p w14:paraId="5967C289" w14:textId="77777777" w:rsidR="00211683" w:rsidRPr="00CB1CD7" w:rsidRDefault="00211683" w:rsidP="00E26750">
            <w:pPr>
              <w:jc w:val="both"/>
            </w:pPr>
            <w:r w:rsidRPr="00CB1CD7">
              <w:t>Vor Instandsetzungsarbeiten sind die Arbeitsbereiche einschließlich der zu wartenden Geräte und Einrichtungen vom Laborpersonal zu desinfizieren oder die Desinfektion zu beauftragen. Dies gilt auch für Geräte/Arbeitsmittel, die zur Instandsetzung</w:t>
            </w:r>
          </w:p>
          <w:p w14:paraId="7C9EF741" w14:textId="77777777" w:rsidR="00211683" w:rsidRPr="00CB1CD7" w:rsidRDefault="00211683" w:rsidP="00E26750">
            <w:pPr>
              <w:jc w:val="both"/>
            </w:pPr>
            <w:r w:rsidRPr="00CB1CD7">
              <w:t>weggegeben werden. Ist eine Desinfektion nicht möglich, ist geeignete persönliche Schutzausrüstung für das Instandsetzungspersonal zur Verfügung zu stellen. Die zusätzlich erforderlichen Schutzmaßnahmen sind in einer Arbeitsanweisung tätigkeitsbezogen schriftlich festzulegen.</w:t>
            </w:r>
          </w:p>
          <w:p w14:paraId="7980719F" w14:textId="77777777" w:rsidR="00211683" w:rsidRPr="00CB1CD7" w:rsidRDefault="00211683" w:rsidP="00E26750">
            <w:pPr>
              <w:jc w:val="both"/>
            </w:pPr>
            <w:r w:rsidRPr="00CB1CD7">
              <w:t>Die Beschäftigten sind arbeitsplatz- und tätigkeitsbezogen zu unterweisen. Die verantwortliche Person hat für die Instandsetzungsarbeiten</w:t>
            </w:r>
            <w:r>
              <w:t xml:space="preserve"> </w:t>
            </w:r>
            <w:r w:rsidRPr="00CB1CD7">
              <w:t>eine schriftliche Arbeitsfreigabe zu erteilen.</w:t>
            </w:r>
          </w:p>
        </w:tc>
        <w:tc>
          <w:tcPr>
            <w:tcW w:w="1418" w:type="dxa"/>
            <w:tcBorders>
              <w:bottom w:val="single" w:sz="4" w:space="0" w:color="auto"/>
            </w:tcBorders>
            <w:shd w:val="clear" w:color="auto" w:fill="auto"/>
          </w:tcPr>
          <w:p w14:paraId="4F93C816" w14:textId="77777777" w:rsidR="00211683" w:rsidRPr="00CB1CD7" w:rsidRDefault="00211683" w:rsidP="00E26750">
            <w:r w:rsidRPr="00CB1CD7">
              <w:t>TRBA 100, 5.3 (21)</w:t>
            </w:r>
          </w:p>
        </w:tc>
        <w:sdt>
          <w:sdtPr>
            <w:id w:val="-1436437683"/>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736FE069" w14:textId="77777777" w:rsidR="00211683" w:rsidRDefault="00211683" w:rsidP="00211683">
                <w:pPr>
                  <w:jc w:val="center"/>
                </w:pPr>
                <w:r>
                  <w:rPr>
                    <w:rFonts w:ascii="MS Gothic" w:eastAsia="MS Gothic" w:hAnsi="MS Gothic" w:hint="eastAsia"/>
                  </w:rPr>
                  <w:t>☐</w:t>
                </w:r>
              </w:p>
            </w:tc>
          </w:sdtContent>
        </w:sdt>
        <w:sdt>
          <w:sdtPr>
            <w:id w:val="-398127415"/>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260115FB" w14:textId="77777777" w:rsidR="00211683" w:rsidRDefault="00211683" w:rsidP="00211683">
                <w:pPr>
                  <w:jc w:val="center"/>
                </w:pPr>
                <w:r>
                  <w:rPr>
                    <w:rFonts w:ascii="MS Gothic" w:eastAsia="MS Gothic" w:hAnsi="MS Gothic" w:hint="eastAsia"/>
                  </w:rPr>
                  <w:t>☐</w:t>
                </w:r>
              </w:p>
            </w:tc>
          </w:sdtContent>
        </w:sdt>
        <w:sdt>
          <w:sdtPr>
            <w:id w:val="31230240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2B4FF26" w14:textId="77777777" w:rsidR="00211683" w:rsidRPr="00CB1CD7" w:rsidRDefault="00211683" w:rsidP="00211683">
                <w:pPr>
                  <w:jc w:val="center"/>
                </w:pPr>
                <w:r>
                  <w:rPr>
                    <w:rFonts w:ascii="MS Gothic" w:eastAsia="MS Gothic" w:hAnsi="MS Gothic" w:hint="eastAsia"/>
                  </w:rPr>
                  <w:t>☐</w:t>
                </w:r>
              </w:p>
            </w:tc>
          </w:sdtContent>
        </w:sdt>
        <w:tc>
          <w:tcPr>
            <w:tcW w:w="3259" w:type="dxa"/>
            <w:tcBorders>
              <w:bottom w:val="single" w:sz="4" w:space="0" w:color="auto"/>
            </w:tcBorders>
          </w:tcPr>
          <w:p w14:paraId="44AD1ACA" w14:textId="77777777" w:rsidR="00211683" w:rsidRPr="00861D90" w:rsidRDefault="00211683" w:rsidP="00E26750">
            <w:pPr>
              <w:jc w:val="center"/>
            </w:pPr>
          </w:p>
        </w:tc>
      </w:tr>
      <w:tr w:rsidR="00211683" w:rsidRPr="00CB1CD7" w14:paraId="76DA88E8" w14:textId="77777777" w:rsidTr="00CD0100">
        <w:trPr>
          <w:trHeight w:val="286"/>
        </w:trPr>
        <w:tc>
          <w:tcPr>
            <w:tcW w:w="1980" w:type="dxa"/>
            <w:tcBorders>
              <w:bottom w:val="single" w:sz="4" w:space="0" w:color="auto"/>
            </w:tcBorders>
            <w:shd w:val="clear" w:color="auto" w:fill="auto"/>
          </w:tcPr>
          <w:p w14:paraId="7C756065" w14:textId="615759C2" w:rsidR="00211683" w:rsidRPr="00CB1CD7" w:rsidRDefault="00211683" w:rsidP="00CD0100">
            <w:pPr>
              <w:pStyle w:val="Listenabsatz"/>
              <w:numPr>
                <w:ilvl w:val="1"/>
                <w:numId w:val="1"/>
              </w:numPr>
              <w:ind w:left="458"/>
            </w:pPr>
            <w:r w:rsidRPr="00CB1CD7">
              <w:t>Abfallentsorgung</w:t>
            </w:r>
          </w:p>
        </w:tc>
        <w:tc>
          <w:tcPr>
            <w:tcW w:w="5641" w:type="dxa"/>
            <w:tcBorders>
              <w:bottom w:val="single" w:sz="4" w:space="0" w:color="auto"/>
            </w:tcBorders>
            <w:shd w:val="clear" w:color="auto" w:fill="auto"/>
          </w:tcPr>
          <w:p w14:paraId="3E000717" w14:textId="77777777" w:rsidR="00D2362C" w:rsidRDefault="00D2362C" w:rsidP="00D2362C">
            <w:pPr>
              <w:jc w:val="both"/>
            </w:pPr>
            <w:r>
              <w:t>Kontaminierte flüssige und feste Abfälle (z.B. Kulturen, Gewebe, Proben mit Körperflüssigkeiten) sind in geeigneten verschließbaren Behältern sicher zu sammeln und einer für diese Abfälle geeigneten Inaktivierung zuzuführen. Für die Inaktivierung sind erregerbezogen nachweislich wirksame physikalische oder chemische Verfahren einzusetzen.</w:t>
            </w:r>
          </w:p>
          <w:p w14:paraId="221CD5B3" w14:textId="77777777" w:rsidR="00211683" w:rsidRPr="00E26750" w:rsidRDefault="00D2362C" w:rsidP="00D2362C">
            <w:pPr>
              <w:jc w:val="both"/>
            </w:pPr>
            <w:r>
              <w:lastRenderedPageBreak/>
              <w:t>Hinweise: Ein geeignetes thermisches Verfahren ist das Autoklavieren, wobei die Beschaffenheit der infektiösen Abfälle zu beachten ist, oder die Verbrennung in einer zugelassenen Verbrennungsanlage.</w:t>
            </w:r>
          </w:p>
        </w:tc>
        <w:tc>
          <w:tcPr>
            <w:tcW w:w="1418" w:type="dxa"/>
            <w:tcBorders>
              <w:bottom w:val="single" w:sz="4" w:space="0" w:color="auto"/>
            </w:tcBorders>
            <w:shd w:val="clear" w:color="auto" w:fill="auto"/>
          </w:tcPr>
          <w:p w14:paraId="473EED6C" w14:textId="77777777" w:rsidR="00211683" w:rsidRPr="00CB1CD7" w:rsidRDefault="00211683" w:rsidP="00E26750">
            <w:r w:rsidRPr="00CB1CD7">
              <w:lastRenderedPageBreak/>
              <w:t>TRBA 100, 5.3 (15)</w:t>
            </w:r>
          </w:p>
        </w:tc>
        <w:sdt>
          <w:sdtPr>
            <w:id w:val="-2095387963"/>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54272751" w14:textId="77777777" w:rsidR="00211683" w:rsidRDefault="00211683" w:rsidP="00211683">
                <w:pPr>
                  <w:jc w:val="center"/>
                </w:pPr>
                <w:r>
                  <w:rPr>
                    <w:rFonts w:ascii="MS Gothic" w:eastAsia="MS Gothic" w:hAnsi="MS Gothic" w:hint="eastAsia"/>
                  </w:rPr>
                  <w:t>☐</w:t>
                </w:r>
              </w:p>
            </w:tc>
          </w:sdtContent>
        </w:sdt>
        <w:sdt>
          <w:sdtPr>
            <w:id w:val="52586824"/>
            <w14:checkbox>
              <w14:checked w14:val="0"/>
              <w14:checkedState w14:val="2612" w14:font="MS Gothic"/>
              <w14:uncheckedState w14:val="2610" w14:font="MS Gothic"/>
            </w14:checkbox>
          </w:sdtPr>
          <w:sdtEndPr/>
          <w:sdtContent>
            <w:tc>
              <w:tcPr>
                <w:tcW w:w="567" w:type="dxa"/>
                <w:tcBorders>
                  <w:bottom w:val="single" w:sz="4" w:space="0" w:color="auto"/>
                </w:tcBorders>
                <w:vAlign w:val="center"/>
              </w:tcPr>
              <w:p w14:paraId="7D1C3B85" w14:textId="77777777" w:rsidR="00211683" w:rsidRDefault="00211683" w:rsidP="00211683">
                <w:pPr>
                  <w:jc w:val="center"/>
                </w:pPr>
                <w:r>
                  <w:rPr>
                    <w:rFonts w:ascii="MS Gothic" w:eastAsia="MS Gothic" w:hAnsi="MS Gothic" w:hint="eastAsia"/>
                  </w:rPr>
                  <w:t>☐</w:t>
                </w:r>
              </w:p>
            </w:tc>
          </w:sdtContent>
        </w:sdt>
        <w:sdt>
          <w:sdtPr>
            <w:id w:val="-198430934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F244923"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Borders>
              <w:bottom w:val="single" w:sz="4" w:space="0" w:color="auto"/>
            </w:tcBorders>
          </w:tcPr>
          <w:p w14:paraId="6E16AC3D" w14:textId="77777777" w:rsidR="00211683" w:rsidRPr="00861D90" w:rsidRDefault="00211683" w:rsidP="00E26750">
            <w:pPr>
              <w:jc w:val="center"/>
            </w:pPr>
          </w:p>
        </w:tc>
      </w:tr>
      <w:tr w:rsidR="00211683" w:rsidRPr="00CB1CD7" w14:paraId="52A3A99A" w14:textId="77777777" w:rsidTr="00211683">
        <w:tc>
          <w:tcPr>
            <w:tcW w:w="10740" w:type="dxa"/>
            <w:gridSpan w:val="6"/>
            <w:tcBorders>
              <w:top w:val="single" w:sz="4" w:space="0" w:color="auto"/>
            </w:tcBorders>
            <w:shd w:val="clear" w:color="auto" w:fill="D9D9D9" w:themeFill="background1" w:themeFillShade="D9"/>
            <w:vAlign w:val="center"/>
          </w:tcPr>
          <w:p w14:paraId="38C32A16" w14:textId="77777777" w:rsidR="00211683" w:rsidRPr="00CB1CD7" w:rsidRDefault="00211683" w:rsidP="00211683">
            <w:pPr>
              <w:pStyle w:val="Listenabsatz"/>
              <w:numPr>
                <w:ilvl w:val="0"/>
                <w:numId w:val="1"/>
              </w:numPr>
              <w:rPr>
                <w:b/>
              </w:rPr>
            </w:pPr>
            <w:r w:rsidRPr="00CB1CD7">
              <w:rPr>
                <w:b/>
              </w:rPr>
              <w:t xml:space="preserve">Persönliche </w:t>
            </w:r>
            <w:r>
              <w:rPr>
                <w:b/>
              </w:rPr>
              <w:t>Schutz</w:t>
            </w:r>
            <w:r w:rsidRPr="00CB1CD7">
              <w:rPr>
                <w:b/>
              </w:rPr>
              <w:t>maßnahmen</w:t>
            </w:r>
          </w:p>
        </w:tc>
        <w:tc>
          <w:tcPr>
            <w:tcW w:w="3259" w:type="dxa"/>
            <w:tcBorders>
              <w:top w:val="single" w:sz="4" w:space="0" w:color="auto"/>
            </w:tcBorders>
            <w:shd w:val="clear" w:color="auto" w:fill="D9D9D9" w:themeFill="background1" w:themeFillShade="D9"/>
          </w:tcPr>
          <w:p w14:paraId="323266EF" w14:textId="77777777" w:rsidR="00211683" w:rsidRPr="00861D90" w:rsidRDefault="00211683" w:rsidP="00E26750">
            <w:pPr>
              <w:jc w:val="both"/>
            </w:pPr>
          </w:p>
        </w:tc>
      </w:tr>
      <w:tr w:rsidR="00211683" w:rsidRPr="00CB1CD7" w14:paraId="2517AA8D" w14:textId="77777777" w:rsidTr="00CD0100">
        <w:tc>
          <w:tcPr>
            <w:tcW w:w="1980" w:type="dxa"/>
            <w:vMerge w:val="restart"/>
          </w:tcPr>
          <w:p w14:paraId="6BAE5D6C" w14:textId="5EB7C811" w:rsidR="00211683" w:rsidRPr="00CB1CD7" w:rsidRDefault="00211683" w:rsidP="00CD0100">
            <w:pPr>
              <w:pStyle w:val="Listenabsatz"/>
              <w:numPr>
                <w:ilvl w:val="1"/>
                <w:numId w:val="1"/>
              </w:numPr>
              <w:ind w:left="458"/>
            </w:pPr>
            <w:r w:rsidRPr="00CB1CD7">
              <w:t>Schutzausrüstung</w:t>
            </w:r>
          </w:p>
        </w:tc>
        <w:tc>
          <w:tcPr>
            <w:tcW w:w="5641" w:type="dxa"/>
          </w:tcPr>
          <w:p w14:paraId="1B42E854" w14:textId="77777777" w:rsidR="00211683" w:rsidRPr="00CB1CD7" w:rsidRDefault="00211683" w:rsidP="00E26750">
            <w:pPr>
              <w:jc w:val="both"/>
            </w:pPr>
            <w:r w:rsidRPr="00CB1CD7">
              <w:t xml:space="preserve">Die Schutzkleidung umfasst mindestens einen Laborkittel. Schutzhandschuhe sind in Abhängigkeit von der Tätigkeit zu tragen, immer jedoch dann, wenn die Hände Kontakt zu biologischen Arbeitsstoffen, potenziell ansteckenden Materialien, sowie kontaminierten Gegenständen, Oberflächen oder Ausrüstungen haben können. </w:t>
            </w:r>
          </w:p>
          <w:p w14:paraId="70D7AE29" w14:textId="77777777" w:rsidR="00211683" w:rsidRPr="00CB1CD7" w:rsidRDefault="00211683" w:rsidP="00E26750">
            <w:pPr>
              <w:jc w:val="both"/>
            </w:pPr>
            <w:r w:rsidRPr="00CB1CD7">
              <w:t xml:space="preserve">Wenn mit Spritzern ins Gesicht zu rechnen ist, ist ein Gesichtsschutz (z.B. Schutzbrille, Maske oder Gesichtsschild) anzuwenden. Schutzkleidung und sonstige persönliche Schutzausrüstung sind </w:t>
            </w:r>
            <w:r w:rsidRPr="00F168C7">
              <w:rPr>
                <w:u w:val="single"/>
              </w:rPr>
              <w:t>beim Verlassen</w:t>
            </w:r>
            <w:r>
              <w:rPr>
                <w:u w:val="single"/>
              </w:rPr>
              <w:t>*</w:t>
            </w:r>
            <w:r w:rsidRPr="00CB1CD7">
              <w:t xml:space="preserve"> des Schutzstufenbereiches abzulegen.</w:t>
            </w:r>
          </w:p>
          <w:p w14:paraId="1D415E52" w14:textId="77777777" w:rsidR="00211683" w:rsidRPr="00CB1CD7" w:rsidRDefault="00211683" w:rsidP="00E26750">
            <w:pPr>
              <w:jc w:val="both"/>
            </w:pPr>
            <w:r w:rsidRPr="00CB1CD7">
              <w:t>Persönliche Schutzausrüstung einschließlich Schutzkleidung ist getrennt von anderer Arbeits- und Straßenkleidung aufzubewahren.</w:t>
            </w:r>
            <w:r>
              <w:t xml:space="preserve"> (* d.h. die Kittel müssen IM Schutzstufenbereich hängen!)</w:t>
            </w:r>
          </w:p>
        </w:tc>
        <w:tc>
          <w:tcPr>
            <w:tcW w:w="1418" w:type="dxa"/>
          </w:tcPr>
          <w:p w14:paraId="6FCC3A57" w14:textId="77777777" w:rsidR="00211683" w:rsidRPr="00CB1CD7" w:rsidRDefault="00211683" w:rsidP="00E26750">
            <w:r w:rsidRPr="00CB1CD7">
              <w:t>TRBA 100, 5.3 (23)</w:t>
            </w:r>
          </w:p>
        </w:tc>
        <w:sdt>
          <w:sdtPr>
            <w:id w:val="1383993468"/>
            <w14:checkbox>
              <w14:checked w14:val="0"/>
              <w14:checkedState w14:val="2612" w14:font="MS Gothic"/>
              <w14:uncheckedState w14:val="2610" w14:font="MS Gothic"/>
            </w14:checkbox>
          </w:sdtPr>
          <w:sdtEndPr/>
          <w:sdtContent>
            <w:tc>
              <w:tcPr>
                <w:tcW w:w="567" w:type="dxa"/>
                <w:vAlign w:val="center"/>
              </w:tcPr>
              <w:p w14:paraId="08E7118C" w14:textId="77777777" w:rsidR="00211683" w:rsidRDefault="00211683" w:rsidP="00211683">
                <w:pPr>
                  <w:jc w:val="center"/>
                </w:pPr>
                <w:r>
                  <w:rPr>
                    <w:rFonts w:ascii="MS Gothic" w:eastAsia="MS Gothic" w:hAnsi="MS Gothic" w:hint="eastAsia"/>
                  </w:rPr>
                  <w:t>☐</w:t>
                </w:r>
              </w:p>
            </w:tc>
          </w:sdtContent>
        </w:sdt>
        <w:sdt>
          <w:sdtPr>
            <w:id w:val="-1085296896"/>
            <w14:checkbox>
              <w14:checked w14:val="0"/>
              <w14:checkedState w14:val="2612" w14:font="MS Gothic"/>
              <w14:uncheckedState w14:val="2610" w14:font="MS Gothic"/>
            </w14:checkbox>
          </w:sdtPr>
          <w:sdtEndPr/>
          <w:sdtContent>
            <w:tc>
              <w:tcPr>
                <w:tcW w:w="567" w:type="dxa"/>
                <w:vAlign w:val="center"/>
              </w:tcPr>
              <w:p w14:paraId="2398D7BE" w14:textId="77777777" w:rsidR="00211683" w:rsidRDefault="00211683" w:rsidP="00211683">
                <w:pPr>
                  <w:jc w:val="center"/>
                </w:pPr>
                <w:r>
                  <w:rPr>
                    <w:rFonts w:ascii="MS Gothic" w:eastAsia="MS Gothic" w:hAnsi="MS Gothic" w:hint="eastAsia"/>
                  </w:rPr>
                  <w:t>☐</w:t>
                </w:r>
              </w:p>
            </w:tc>
          </w:sdtContent>
        </w:sdt>
        <w:sdt>
          <w:sdtPr>
            <w:id w:val="-1216651682"/>
            <w14:checkbox>
              <w14:checked w14:val="0"/>
              <w14:checkedState w14:val="2612" w14:font="MS Gothic"/>
              <w14:uncheckedState w14:val="2610" w14:font="MS Gothic"/>
            </w14:checkbox>
          </w:sdtPr>
          <w:sdtEndPr/>
          <w:sdtContent>
            <w:tc>
              <w:tcPr>
                <w:tcW w:w="567" w:type="dxa"/>
                <w:vAlign w:val="center"/>
              </w:tcPr>
              <w:p w14:paraId="39994A1F" w14:textId="77777777" w:rsidR="00211683" w:rsidRPr="00CB1CD7" w:rsidRDefault="00211683" w:rsidP="00211683">
                <w:pPr>
                  <w:jc w:val="center"/>
                </w:pPr>
                <w:r w:rsidRPr="00CB1CD7">
                  <w:rPr>
                    <w:rFonts w:ascii="MS Gothic" w:eastAsia="MS Gothic" w:hAnsi="MS Gothic" w:hint="eastAsia"/>
                  </w:rPr>
                  <w:t>☐</w:t>
                </w:r>
              </w:p>
            </w:tc>
          </w:sdtContent>
        </w:sdt>
        <w:tc>
          <w:tcPr>
            <w:tcW w:w="3259" w:type="dxa"/>
          </w:tcPr>
          <w:p w14:paraId="48BD66A5" w14:textId="77777777" w:rsidR="00211683" w:rsidRPr="00861D90" w:rsidRDefault="00211683" w:rsidP="00E26750">
            <w:pPr>
              <w:jc w:val="center"/>
            </w:pPr>
          </w:p>
        </w:tc>
      </w:tr>
      <w:tr w:rsidR="00211683" w:rsidRPr="00CB1CD7" w14:paraId="4B65498D" w14:textId="77777777" w:rsidTr="00CD0100">
        <w:tc>
          <w:tcPr>
            <w:tcW w:w="1980" w:type="dxa"/>
            <w:vMerge/>
          </w:tcPr>
          <w:p w14:paraId="17F69833" w14:textId="77777777" w:rsidR="00211683" w:rsidRPr="00CB1CD7" w:rsidRDefault="00211683" w:rsidP="00D73A5C"/>
        </w:tc>
        <w:tc>
          <w:tcPr>
            <w:tcW w:w="5641" w:type="dxa"/>
          </w:tcPr>
          <w:p w14:paraId="6A39A01C" w14:textId="77777777" w:rsidR="00211683" w:rsidRPr="00CB1CD7" w:rsidRDefault="00211683" w:rsidP="00D73A5C">
            <w:pPr>
              <w:jc w:val="both"/>
            </w:pPr>
            <w:r w:rsidRPr="00CB1CD7">
              <w:t xml:space="preserve">Bei der Bearbeitung von infektiösem Gewebe, wie z.B. beim Zuschnitt oder mikroskopischen Untersuchungen, ist die persönliche Schutzausrüstung durch Einmalschürzen zu ergänzen. Beim Eröffnen von Hohlräumen sind Schutzbrillen </w:t>
            </w:r>
            <w:r w:rsidRPr="00CB1CD7">
              <w:lastRenderedPageBreak/>
              <w:t xml:space="preserve">notwendig, beim Zuschnitt von Zysten und Lymphknoten sowie bei Schnellschnitten ist in Abhängigkeit von der Gefährdungsbeurteilung ggf. Atemschutz zu tragen. </w:t>
            </w:r>
            <w:r w:rsidRPr="00CB1CD7">
              <w:rPr>
                <w:sz w:val="18"/>
                <w:szCs w:val="18"/>
              </w:rPr>
              <w:t>Hinweis: In histologischen Laboratorien sind aufgrund der Gefährdung durch Formalin abgesaugte Zuschnitttische zu empfehlen.</w:t>
            </w:r>
          </w:p>
        </w:tc>
        <w:tc>
          <w:tcPr>
            <w:tcW w:w="1418" w:type="dxa"/>
          </w:tcPr>
          <w:p w14:paraId="3FC04C3B" w14:textId="77777777" w:rsidR="00211683" w:rsidRPr="00CB1CD7" w:rsidRDefault="00211683" w:rsidP="003615BD">
            <w:r w:rsidRPr="00CB1CD7">
              <w:lastRenderedPageBreak/>
              <w:t>TRBA 100, 5.3 (24)</w:t>
            </w:r>
          </w:p>
        </w:tc>
        <w:sdt>
          <w:sdtPr>
            <w:id w:val="-136805348"/>
            <w14:checkbox>
              <w14:checked w14:val="0"/>
              <w14:checkedState w14:val="2612" w14:font="MS Gothic"/>
              <w14:uncheckedState w14:val="2610" w14:font="MS Gothic"/>
            </w14:checkbox>
          </w:sdtPr>
          <w:sdtEndPr/>
          <w:sdtContent>
            <w:tc>
              <w:tcPr>
                <w:tcW w:w="567" w:type="dxa"/>
                <w:vAlign w:val="center"/>
              </w:tcPr>
              <w:p w14:paraId="4F394927" w14:textId="77777777" w:rsidR="00211683" w:rsidRPr="00CB1CD7" w:rsidRDefault="00DC3746" w:rsidP="00DC3746">
                <w:pPr>
                  <w:jc w:val="center"/>
                </w:pPr>
                <w:r>
                  <w:rPr>
                    <w:rFonts w:ascii="MS Gothic" w:eastAsia="MS Gothic" w:hAnsi="MS Gothic" w:hint="eastAsia"/>
                  </w:rPr>
                  <w:t>☐</w:t>
                </w:r>
              </w:p>
            </w:tc>
          </w:sdtContent>
        </w:sdt>
        <w:sdt>
          <w:sdtPr>
            <w:id w:val="-1876842426"/>
            <w14:checkbox>
              <w14:checked w14:val="0"/>
              <w14:checkedState w14:val="2612" w14:font="MS Gothic"/>
              <w14:uncheckedState w14:val="2610" w14:font="MS Gothic"/>
            </w14:checkbox>
          </w:sdtPr>
          <w:sdtEndPr/>
          <w:sdtContent>
            <w:tc>
              <w:tcPr>
                <w:tcW w:w="567" w:type="dxa"/>
                <w:vAlign w:val="center"/>
              </w:tcPr>
              <w:p w14:paraId="63B82F36" w14:textId="77777777" w:rsidR="00211683" w:rsidRPr="00CB1CD7" w:rsidRDefault="00211683" w:rsidP="00DC3746">
                <w:pPr>
                  <w:jc w:val="center"/>
                </w:pPr>
                <w:r>
                  <w:rPr>
                    <w:rFonts w:ascii="MS Gothic" w:eastAsia="MS Gothic" w:hAnsi="MS Gothic" w:hint="eastAsia"/>
                  </w:rPr>
                  <w:t>☐</w:t>
                </w:r>
              </w:p>
            </w:tc>
          </w:sdtContent>
        </w:sdt>
        <w:sdt>
          <w:sdtPr>
            <w:id w:val="-202714460"/>
            <w14:checkbox>
              <w14:checked w14:val="0"/>
              <w14:checkedState w14:val="2612" w14:font="MS Gothic"/>
              <w14:uncheckedState w14:val="2610" w14:font="MS Gothic"/>
            </w14:checkbox>
          </w:sdtPr>
          <w:sdtEndPr/>
          <w:sdtContent>
            <w:tc>
              <w:tcPr>
                <w:tcW w:w="567" w:type="dxa"/>
                <w:vAlign w:val="center"/>
              </w:tcPr>
              <w:p w14:paraId="2BF826DA" w14:textId="77777777" w:rsidR="00211683" w:rsidRPr="00CB1CD7" w:rsidRDefault="00DC3746" w:rsidP="00DC3746">
                <w:pPr>
                  <w:jc w:val="center"/>
                </w:pPr>
                <w:r>
                  <w:rPr>
                    <w:rFonts w:ascii="MS Gothic" w:eastAsia="MS Gothic" w:hAnsi="MS Gothic" w:hint="eastAsia"/>
                  </w:rPr>
                  <w:t>☐</w:t>
                </w:r>
              </w:p>
            </w:tc>
          </w:sdtContent>
        </w:sdt>
        <w:tc>
          <w:tcPr>
            <w:tcW w:w="3259" w:type="dxa"/>
          </w:tcPr>
          <w:p w14:paraId="69F732D0" w14:textId="77777777" w:rsidR="00211683" w:rsidRPr="00861D90" w:rsidRDefault="00211683" w:rsidP="00861D90">
            <w:pPr>
              <w:jc w:val="center"/>
            </w:pPr>
          </w:p>
        </w:tc>
      </w:tr>
      <w:tr w:rsidR="00211683" w:rsidRPr="00CB1CD7" w14:paraId="4364A6CB" w14:textId="77777777" w:rsidTr="00CD0100">
        <w:tc>
          <w:tcPr>
            <w:tcW w:w="1980" w:type="dxa"/>
          </w:tcPr>
          <w:p w14:paraId="07C386F5" w14:textId="77777777" w:rsidR="00211683" w:rsidRPr="00CB1CD7" w:rsidRDefault="00211683" w:rsidP="00CD0100">
            <w:pPr>
              <w:pStyle w:val="Listenabsatz"/>
              <w:numPr>
                <w:ilvl w:val="1"/>
                <w:numId w:val="1"/>
              </w:numPr>
              <w:ind w:left="317" w:hanging="317"/>
            </w:pPr>
            <w:r w:rsidRPr="00CB1CD7">
              <w:t>Umgang mit Kanülen</w:t>
            </w:r>
          </w:p>
        </w:tc>
        <w:tc>
          <w:tcPr>
            <w:tcW w:w="5641" w:type="dxa"/>
          </w:tcPr>
          <w:p w14:paraId="731D2B95" w14:textId="77777777" w:rsidR="00211683" w:rsidRPr="00CB1CD7" w:rsidRDefault="00211683" w:rsidP="004C7A34">
            <w:pPr>
              <w:jc w:val="both"/>
            </w:pPr>
            <w:r w:rsidRPr="00CB1CD7">
              <w:t>Tätigkeiten mit Nadeln, Spritzen und anderen spitzen und scharfen Instrumenten und Gegenständen sind auf das absolut notwendige Maß zu beschränken und nur unter Anwendung entsprechender Sicherheitsvorkehrungen möglich. Es ist zu prüfen,</w:t>
            </w:r>
            <w:r w:rsidR="00BE0ACE">
              <w:t xml:space="preserve"> </w:t>
            </w:r>
            <w:r w:rsidRPr="00CB1CD7">
              <w:t>ob es alternative Verfahren gibt und inwieweit die Gefahr durch Stich- und Schnittverletzungen z.B. durch die Verwendung von Arbeitsgeräten mit Sicherheitsmechanismus verringert werden kann. Soweit technisch möglich, sind vorrangig sichere</w:t>
            </w:r>
          </w:p>
          <w:p w14:paraId="411DF761" w14:textId="77777777" w:rsidR="00211683" w:rsidRPr="00CB1CD7" w:rsidRDefault="00211683" w:rsidP="004C7A34">
            <w:pPr>
              <w:jc w:val="both"/>
            </w:pPr>
            <w:r w:rsidRPr="00CB1CD7">
              <w:t>Arbeitsgeräte einzusetzen. Nach Gebrauch sind spitze und scharfe Arbeitsgeräte einschließlich gesicherter Instrumente in stich- und bruchfesten Einmalbehältnissen zu sammeln und zu entsorgen</w:t>
            </w:r>
          </w:p>
        </w:tc>
        <w:tc>
          <w:tcPr>
            <w:tcW w:w="1418" w:type="dxa"/>
          </w:tcPr>
          <w:p w14:paraId="35A80EA5" w14:textId="77777777" w:rsidR="00211683" w:rsidRPr="00CB1CD7" w:rsidRDefault="00211683" w:rsidP="003615BD">
            <w:r w:rsidRPr="00CB1CD7">
              <w:t>TRBA 100, 5.3 (18)</w:t>
            </w:r>
          </w:p>
        </w:tc>
        <w:sdt>
          <w:sdtPr>
            <w:id w:val="1376583328"/>
            <w14:checkbox>
              <w14:checked w14:val="0"/>
              <w14:checkedState w14:val="2612" w14:font="MS Gothic"/>
              <w14:uncheckedState w14:val="2610" w14:font="MS Gothic"/>
            </w14:checkbox>
          </w:sdtPr>
          <w:sdtEndPr/>
          <w:sdtContent>
            <w:tc>
              <w:tcPr>
                <w:tcW w:w="567" w:type="dxa"/>
                <w:vAlign w:val="center"/>
              </w:tcPr>
              <w:p w14:paraId="0B469195" w14:textId="77777777" w:rsidR="00211683" w:rsidRDefault="00211683" w:rsidP="00DC3746">
                <w:pPr>
                  <w:jc w:val="center"/>
                </w:pPr>
                <w:r>
                  <w:rPr>
                    <w:rFonts w:ascii="MS Gothic" w:eastAsia="MS Gothic" w:hAnsi="MS Gothic" w:hint="eastAsia"/>
                  </w:rPr>
                  <w:t>☐</w:t>
                </w:r>
              </w:p>
            </w:tc>
          </w:sdtContent>
        </w:sdt>
        <w:sdt>
          <w:sdtPr>
            <w:id w:val="-1199703567"/>
            <w14:checkbox>
              <w14:checked w14:val="0"/>
              <w14:checkedState w14:val="2612" w14:font="MS Gothic"/>
              <w14:uncheckedState w14:val="2610" w14:font="MS Gothic"/>
            </w14:checkbox>
          </w:sdtPr>
          <w:sdtEndPr/>
          <w:sdtContent>
            <w:tc>
              <w:tcPr>
                <w:tcW w:w="567" w:type="dxa"/>
                <w:vAlign w:val="center"/>
              </w:tcPr>
              <w:p w14:paraId="2D4BB91A" w14:textId="77777777" w:rsidR="00211683" w:rsidRDefault="00DC3746" w:rsidP="00DC3746">
                <w:pPr>
                  <w:jc w:val="center"/>
                </w:pPr>
                <w:r>
                  <w:rPr>
                    <w:rFonts w:ascii="MS Gothic" w:eastAsia="MS Gothic" w:hAnsi="MS Gothic" w:hint="eastAsia"/>
                  </w:rPr>
                  <w:t>☐</w:t>
                </w:r>
              </w:p>
            </w:tc>
          </w:sdtContent>
        </w:sdt>
        <w:sdt>
          <w:sdtPr>
            <w:id w:val="-1636936661"/>
            <w14:checkbox>
              <w14:checked w14:val="0"/>
              <w14:checkedState w14:val="2612" w14:font="MS Gothic"/>
              <w14:uncheckedState w14:val="2610" w14:font="MS Gothic"/>
            </w14:checkbox>
          </w:sdtPr>
          <w:sdtEndPr/>
          <w:sdtContent>
            <w:tc>
              <w:tcPr>
                <w:tcW w:w="567" w:type="dxa"/>
                <w:vAlign w:val="center"/>
              </w:tcPr>
              <w:p w14:paraId="4D08E838" w14:textId="77777777" w:rsidR="00211683" w:rsidRPr="00CB1CD7" w:rsidRDefault="00211683" w:rsidP="000D1512">
                <w:pPr>
                  <w:jc w:val="center"/>
                </w:pPr>
                <w:r w:rsidRPr="00CB1CD7">
                  <w:rPr>
                    <w:rFonts w:ascii="MS Gothic" w:eastAsia="MS Gothic" w:hAnsi="MS Gothic" w:hint="eastAsia"/>
                  </w:rPr>
                  <w:t>☐</w:t>
                </w:r>
              </w:p>
            </w:tc>
          </w:sdtContent>
        </w:sdt>
        <w:tc>
          <w:tcPr>
            <w:tcW w:w="3259" w:type="dxa"/>
          </w:tcPr>
          <w:p w14:paraId="69C19B03" w14:textId="77777777" w:rsidR="00211683" w:rsidRPr="00861D90" w:rsidRDefault="00211683" w:rsidP="00861D90">
            <w:pPr>
              <w:jc w:val="center"/>
            </w:pPr>
          </w:p>
        </w:tc>
      </w:tr>
    </w:tbl>
    <w:p w14:paraId="075F9862" w14:textId="77777777" w:rsidR="00E645DA" w:rsidRDefault="00E645DA" w:rsidP="00FA51D1">
      <w:pPr>
        <w:spacing w:after="0"/>
        <w:rPr>
          <w:b/>
        </w:rPr>
      </w:pPr>
    </w:p>
    <w:p w14:paraId="7965AAE2" w14:textId="77777777" w:rsidR="0080649C" w:rsidRPr="00FA51D1" w:rsidRDefault="0080649C" w:rsidP="00FA51D1">
      <w:pPr>
        <w:spacing w:after="0"/>
        <w:rPr>
          <w:b/>
        </w:rPr>
      </w:pPr>
      <w:r w:rsidRPr="00FA51D1">
        <w:rPr>
          <w:b/>
        </w:rPr>
        <w:t>Legende:</w:t>
      </w:r>
    </w:p>
    <w:p w14:paraId="4C59A4A6" w14:textId="77777777" w:rsidR="0080649C" w:rsidRDefault="0080649C" w:rsidP="00FA51D1">
      <w:pPr>
        <w:spacing w:after="0"/>
      </w:pPr>
      <w:r>
        <w:t>Hilfreiche Kommentare u. Ergänzungen sind in eckigen Klammern gefasst.</w:t>
      </w:r>
    </w:p>
    <w:p w14:paraId="260E5A95" w14:textId="4AF4AC42" w:rsidR="00007828" w:rsidRPr="00FA51D1" w:rsidRDefault="00FA51D1">
      <w:pPr>
        <w:rPr>
          <w:b/>
        </w:rPr>
      </w:pPr>
      <w:r>
        <w:t>Stabsstelle S/U = Stabsstelle Sicherheitswesen und Umweltschu</w:t>
      </w:r>
      <w:r w:rsidR="00102693">
        <w:t>tz</w:t>
      </w:r>
    </w:p>
    <w:sectPr w:rsidR="00007828" w:rsidRPr="00FA51D1" w:rsidSect="00861D90">
      <w:headerReference w:type="default" r:id="rId8"/>
      <w:footerReference w:type="default" r:id="rId9"/>
      <w:pgSz w:w="16838" w:h="11906" w:orient="landscape"/>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E8D9" w14:textId="77777777" w:rsidR="00157072" w:rsidRDefault="00157072" w:rsidP="00E727E2">
      <w:pPr>
        <w:spacing w:after="0" w:line="240" w:lineRule="auto"/>
      </w:pPr>
      <w:r>
        <w:separator/>
      </w:r>
    </w:p>
  </w:endnote>
  <w:endnote w:type="continuationSeparator" w:id="0">
    <w:p w14:paraId="5D0E5A72" w14:textId="77777777" w:rsidR="00157072" w:rsidRDefault="00157072"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70" w:type="dxa"/>
        <w:right w:w="70" w:type="dxa"/>
      </w:tblCellMar>
      <w:tblLook w:val="0000" w:firstRow="0" w:lastRow="0" w:firstColumn="0" w:lastColumn="0" w:noHBand="0" w:noVBand="0"/>
    </w:tblPr>
    <w:tblGrid>
      <w:gridCol w:w="3157"/>
      <w:gridCol w:w="2387"/>
      <w:gridCol w:w="4957"/>
      <w:gridCol w:w="3501"/>
    </w:tblGrid>
    <w:tr w:rsidR="00F079D3" w14:paraId="056C5DB8" w14:textId="77777777" w:rsidTr="003E793B">
      <w:tc>
        <w:tcPr>
          <w:tcW w:w="1127" w:type="pct"/>
        </w:tcPr>
        <w:p w14:paraId="59A9A21A" w14:textId="77777777" w:rsidR="00F079D3" w:rsidRPr="008A4C40" w:rsidRDefault="00F079D3" w:rsidP="00F079D3">
          <w:pPr>
            <w:pStyle w:val="Fuzeile"/>
            <w:widowControl w:val="0"/>
            <w:rPr>
              <w:rFonts w:ascii="Arial" w:hAnsi="Arial" w:cs="Arial"/>
              <w:lang w:val="en-US"/>
            </w:rPr>
          </w:pPr>
          <w:r>
            <w:rPr>
              <w:rFonts w:ascii="Arial" w:hAnsi="Arial" w:cs="Arial"/>
            </w:rPr>
            <w:t xml:space="preserve">Datum: </w:t>
          </w:r>
        </w:p>
      </w:tc>
      <w:tc>
        <w:tcPr>
          <w:tcW w:w="852" w:type="pct"/>
        </w:tcPr>
        <w:p w14:paraId="5BBCAF50" w14:textId="77777777" w:rsidR="00F079D3" w:rsidRDefault="00C03E98" w:rsidP="00F079D3">
          <w:pPr>
            <w:pStyle w:val="Fuzeile"/>
            <w:widowControl w:val="0"/>
            <w:rPr>
              <w:rFonts w:ascii="Arial" w:hAnsi="Arial" w:cs="Arial"/>
            </w:rPr>
          </w:pPr>
          <w:r>
            <w:rPr>
              <w:rFonts w:ascii="Arial" w:hAnsi="Arial" w:cs="Arial"/>
            </w:rPr>
            <w:t>Anlass</w:t>
          </w:r>
          <w:r w:rsidR="00F079D3">
            <w:rPr>
              <w:rFonts w:ascii="Arial" w:hAnsi="Arial" w:cs="Arial"/>
            </w:rPr>
            <w:t>:</w:t>
          </w:r>
        </w:p>
      </w:tc>
      <w:tc>
        <w:tcPr>
          <w:tcW w:w="1770" w:type="pct"/>
        </w:tcPr>
        <w:p w14:paraId="709E712B" w14:textId="77777777" w:rsidR="00F079D3" w:rsidRDefault="00F079D3" w:rsidP="00F079D3">
          <w:pPr>
            <w:pStyle w:val="Fuzeile"/>
            <w:widowControl w:val="0"/>
            <w:rPr>
              <w:rFonts w:ascii="Arial" w:hAnsi="Arial" w:cs="Arial"/>
            </w:rPr>
          </w:pPr>
        </w:p>
      </w:tc>
      <w:tc>
        <w:tcPr>
          <w:tcW w:w="1250" w:type="pct"/>
        </w:tcPr>
        <w:p w14:paraId="0968680D" w14:textId="1CFF0B96" w:rsidR="00F079D3" w:rsidRDefault="003E793B" w:rsidP="00A24C8B">
          <w:pPr>
            <w:pStyle w:val="Fuzeile"/>
            <w:widowControl w:val="0"/>
            <w:jc w:val="right"/>
            <w:rPr>
              <w:rFonts w:ascii="Arial" w:hAnsi="Arial" w:cs="Arial"/>
            </w:rPr>
          </w:pPr>
          <w:r>
            <w:rPr>
              <w:rFonts w:ascii="Arial" w:hAnsi="Arial" w:cs="Arial"/>
            </w:rPr>
            <w:t xml:space="preserve">Stand: </w:t>
          </w:r>
          <w:r w:rsidR="00102693">
            <w:rPr>
              <w:rFonts w:ascii="Arial" w:hAnsi="Arial" w:cs="Arial"/>
            </w:rPr>
            <w:t>07.06.2023</w:t>
          </w:r>
        </w:p>
      </w:tc>
    </w:tr>
    <w:tr w:rsidR="00F079D3" w14:paraId="2573EECE" w14:textId="77777777" w:rsidTr="003E793B">
      <w:tc>
        <w:tcPr>
          <w:tcW w:w="1127" w:type="pct"/>
        </w:tcPr>
        <w:p w14:paraId="295408A7" w14:textId="77777777" w:rsidR="00F079D3" w:rsidRPr="00947B11" w:rsidRDefault="00F079D3" w:rsidP="00F079D3">
          <w:pPr>
            <w:pStyle w:val="Fuzeile"/>
            <w:widowControl w:val="0"/>
            <w:rPr>
              <w:rFonts w:ascii="Arial" w:hAnsi="Arial" w:cs="Arial"/>
            </w:rPr>
          </w:pPr>
          <w:r>
            <w:rPr>
              <w:rFonts w:ascii="Arial" w:hAnsi="Arial" w:cs="Arial"/>
            </w:rPr>
            <w:t>Erstellt von:</w:t>
          </w:r>
        </w:p>
      </w:tc>
      <w:tc>
        <w:tcPr>
          <w:tcW w:w="852" w:type="pct"/>
        </w:tcPr>
        <w:p w14:paraId="17DCB9F9" w14:textId="77777777" w:rsidR="00F079D3" w:rsidRDefault="003E793B" w:rsidP="00F079D3">
          <w:pPr>
            <w:pStyle w:val="Fuzeile"/>
            <w:widowControl w:val="0"/>
            <w:rPr>
              <w:rFonts w:ascii="Arial" w:hAnsi="Arial" w:cs="Arial"/>
            </w:rPr>
          </w:pPr>
          <w:r>
            <w:rPr>
              <w:rFonts w:ascii="Arial" w:hAnsi="Arial" w:cs="Arial"/>
            </w:rPr>
            <w:t>Anwesende Personen:</w:t>
          </w:r>
        </w:p>
      </w:tc>
      <w:tc>
        <w:tcPr>
          <w:tcW w:w="1770" w:type="pct"/>
        </w:tcPr>
        <w:p w14:paraId="09D74DFE" w14:textId="77777777" w:rsidR="00F079D3" w:rsidRPr="00A447F8" w:rsidRDefault="00F079D3" w:rsidP="00F079D3">
          <w:pPr>
            <w:pStyle w:val="Fuzeile"/>
            <w:widowControl w:val="0"/>
            <w:rPr>
              <w:rFonts w:ascii="Arial" w:hAnsi="Arial" w:cs="Arial"/>
            </w:rPr>
          </w:pPr>
        </w:p>
      </w:tc>
      <w:tc>
        <w:tcPr>
          <w:tcW w:w="1250" w:type="pct"/>
        </w:tcPr>
        <w:p w14:paraId="23D7B628" w14:textId="77777777" w:rsidR="00F079D3" w:rsidRDefault="00F079D3" w:rsidP="00F079D3">
          <w:pPr>
            <w:pStyle w:val="Fuzeile"/>
            <w:widowControl w:val="0"/>
            <w:jc w:val="right"/>
            <w:rPr>
              <w:rFonts w:ascii="Arial" w:hAnsi="Arial" w:cs="Arial"/>
            </w:rPr>
          </w:pPr>
          <w:r w:rsidRPr="00783D06">
            <w:rPr>
              <w:rFonts w:ascii="Arial" w:hAnsi="Arial" w:cs="Arial"/>
            </w:rPr>
            <w:t xml:space="preserve">Seite </w:t>
          </w:r>
          <w:r w:rsidRPr="00783D06">
            <w:rPr>
              <w:rFonts w:ascii="Arial" w:hAnsi="Arial" w:cs="Arial"/>
            </w:rPr>
            <w:fldChar w:fldCharType="begin"/>
          </w:r>
          <w:r w:rsidRPr="00783D06">
            <w:rPr>
              <w:rFonts w:ascii="Arial" w:hAnsi="Arial" w:cs="Arial"/>
            </w:rPr>
            <w:instrText xml:space="preserve"> PAGE </w:instrText>
          </w:r>
          <w:r w:rsidRPr="00783D06">
            <w:rPr>
              <w:rFonts w:ascii="Arial" w:hAnsi="Arial" w:cs="Arial"/>
            </w:rPr>
            <w:fldChar w:fldCharType="separate"/>
          </w:r>
          <w:r w:rsidR="00A24C8B">
            <w:rPr>
              <w:rFonts w:ascii="Arial" w:hAnsi="Arial" w:cs="Arial"/>
              <w:noProof/>
            </w:rPr>
            <w:t>3</w:t>
          </w:r>
          <w:r w:rsidRPr="00783D06">
            <w:rPr>
              <w:rFonts w:ascii="Arial" w:hAnsi="Arial" w:cs="Arial"/>
            </w:rPr>
            <w:fldChar w:fldCharType="end"/>
          </w:r>
          <w:r w:rsidRPr="00783D06">
            <w:rPr>
              <w:rFonts w:ascii="Arial" w:hAnsi="Arial" w:cs="Arial"/>
            </w:rPr>
            <w:t xml:space="preserve"> von </w:t>
          </w:r>
          <w:r w:rsidRPr="00783D06">
            <w:rPr>
              <w:rFonts w:ascii="Arial" w:hAnsi="Arial" w:cs="Arial"/>
            </w:rPr>
            <w:fldChar w:fldCharType="begin"/>
          </w:r>
          <w:r w:rsidRPr="00783D06">
            <w:rPr>
              <w:rFonts w:ascii="Arial" w:hAnsi="Arial" w:cs="Arial"/>
            </w:rPr>
            <w:instrText xml:space="preserve"> NUMPAGES  </w:instrText>
          </w:r>
          <w:r w:rsidRPr="00783D06">
            <w:rPr>
              <w:rFonts w:ascii="Arial" w:hAnsi="Arial" w:cs="Arial"/>
            </w:rPr>
            <w:fldChar w:fldCharType="separate"/>
          </w:r>
          <w:r w:rsidR="00A24C8B">
            <w:rPr>
              <w:rFonts w:ascii="Arial" w:hAnsi="Arial" w:cs="Arial"/>
              <w:noProof/>
            </w:rPr>
            <w:t>13</w:t>
          </w:r>
          <w:r w:rsidRPr="00783D06">
            <w:rPr>
              <w:rFonts w:ascii="Arial" w:hAnsi="Arial" w:cs="Arial"/>
            </w:rPr>
            <w:fldChar w:fldCharType="end"/>
          </w:r>
        </w:p>
      </w:tc>
    </w:tr>
  </w:tbl>
  <w:p w14:paraId="6B9D193E" w14:textId="77777777" w:rsidR="00E727E2" w:rsidRDefault="00E727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060A" w14:textId="77777777" w:rsidR="00157072" w:rsidRDefault="00157072" w:rsidP="00E727E2">
      <w:pPr>
        <w:spacing w:after="0" w:line="240" w:lineRule="auto"/>
      </w:pPr>
      <w:r>
        <w:separator/>
      </w:r>
    </w:p>
  </w:footnote>
  <w:footnote w:type="continuationSeparator" w:id="0">
    <w:p w14:paraId="2F397BEE" w14:textId="77777777" w:rsidR="00157072" w:rsidRDefault="00157072"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1"/>
      <w:gridCol w:w="10206"/>
      <w:gridCol w:w="1985"/>
    </w:tblGrid>
    <w:tr w:rsidR="00E727E2" w14:paraId="0F746885" w14:textId="77777777" w:rsidTr="00861D90">
      <w:trPr>
        <w:trHeight w:hRule="exact" w:val="291"/>
      </w:trPr>
      <w:tc>
        <w:tcPr>
          <w:tcW w:w="1951" w:type="dxa"/>
          <w:vMerge w:val="restart"/>
          <w:tcBorders>
            <w:top w:val="single" w:sz="4" w:space="0" w:color="auto"/>
            <w:bottom w:val="single" w:sz="4" w:space="0" w:color="auto"/>
          </w:tcBorders>
        </w:tcPr>
        <w:p w14:paraId="038D5FDB" w14:textId="4BC35796" w:rsidR="00E727E2" w:rsidRPr="00E01423" w:rsidRDefault="00102693" w:rsidP="00524816">
          <w:pPr>
            <w:jc w:val="center"/>
          </w:pPr>
          <w:r>
            <w:rPr>
              <w:noProof/>
              <w:lang w:eastAsia="de-DE"/>
            </w:rPr>
            <w:drawing>
              <wp:anchor distT="0" distB="0" distL="114300" distR="114300" simplePos="0" relativeHeight="251659264" behindDoc="1" locked="0" layoutInCell="1" allowOverlap="1" wp14:anchorId="2003E5D1" wp14:editId="023C3519">
                <wp:simplePos x="0" y="0"/>
                <wp:positionH relativeFrom="column">
                  <wp:posOffset>-635</wp:posOffset>
                </wp:positionH>
                <wp:positionV relativeFrom="paragraph">
                  <wp:posOffset>118685</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0206" w:type="dxa"/>
          <w:tcBorders>
            <w:top w:val="single" w:sz="4" w:space="0" w:color="auto"/>
          </w:tcBorders>
          <w:vAlign w:val="center"/>
        </w:tcPr>
        <w:p w14:paraId="61A30436" w14:textId="77777777" w:rsidR="00E727E2" w:rsidRPr="00E727E2" w:rsidRDefault="00E727E2" w:rsidP="00E727E2">
          <w:pPr>
            <w:pStyle w:val="Vorgabetext"/>
            <w:widowControl/>
            <w:jc w:val="center"/>
            <w:rPr>
              <w:sz w:val="16"/>
              <w:szCs w:val="16"/>
            </w:rPr>
          </w:pPr>
          <w:r w:rsidRPr="00E727E2">
            <w:rPr>
              <w:rFonts w:ascii="Arial" w:hAnsi="Arial" w:cs="Arial"/>
              <w:sz w:val="16"/>
              <w:szCs w:val="16"/>
            </w:rPr>
            <w:t>GEORG-AUGUST-UNIVERSITÄT: Stabsstelle Sicherheitswesen/Umweltschutz</w:t>
          </w:r>
        </w:p>
      </w:tc>
      <w:tc>
        <w:tcPr>
          <w:tcW w:w="1985" w:type="dxa"/>
          <w:vMerge w:val="restart"/>
          <w:tcBorders>
            <w:top w:val="single" w:sz="4" w:space="0" w:color="auto"/>
            <w:bottom w:val="single" w:sz="4" w:space="0" w:color="auto"/>
          </w:tcBorders>
        </w:tcPr>
        <w:p w14:paraId="45E57989" w14:textId="77777777" w:rsidR="00E727E2" w:rsidRDefault="00E727E2" w:rsidP="00524816">
          <w:pPr>
            <w:pStyle w:val="Vorgabetext"/>
            <w:widowControl/>
            <w:jc w:val="center"/>
          </w:pPr>
          <w:r>
            <w:rPr>
              <w:noProof/>
            </w:rPr>
            <w:drawing>
              <wp:anchor distT="0" distB="0" distL="114300" distR="114300" simplePos="0" relativeHeight="251658240" behindDoc="0" locked="0" layoutInCell="1" allowOverlap="1" wp14:anchorId="063B26ED" wp14:editId="26510AD2">
                <wp:simplePos x="0" y="0"/>
                <wp:positionH relativeFrom="column">
                  <wp:posOffset>14912</wp:posOffset>
                </wp:positionH>
                <wp:positionV relativeFrom="paragraph">
                  <wp:posOffset>117475</wp:posOffset>
                </wp:positionV>
                <wp:extent cx="962660" cy="299720"/>
                <wp:effectExtent l="0" t="0" r="8890" b="508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62660" cy="299720"/>
                        </a:xfrm>
                        <a:prstGeom prst="rect">
                          <a:avLst/>
                        </a:prstGeom>
                        <a:noFill/>
                      </pic:spPr>
                    </pic:pic>
                  </a:graphicData>
                </a:graphic>
              </wp:anchor>
            </w:drawing>
          </w:r>
        </w:p>
      </w:tc>
    </w:tr>
    <w:tr w:rsidR="00E727E2" w14:paraId="7ED0D952" w14:textId="77777777" w:rsidTr="00861D90">
      <w:trPr>
        <w:trHeight w:val="262"/>
      </w:trPr>
      <w:tc>
        <w:tcPr>
          <w:tcW w:w="1951" w:type="dxa"/>
          <w:vMerge/>
          <w:tcBorders>
            <w:top w:val="single" w:sz="4" w:space="0" w:color="auto"/>
            <w:bottom w:val="single" w:sz="4" w:space="0" w:color="auto"/>
          </w:tcBorders>
        </w:tcPr>
        <w:p w14:paraId="7FDA716E" w14:textId="77777777" w:rsidR="00E727E2" w:rsidRDefault="00E727E2" w:rsidP="00524816">
          <w:pPr>
            <w:pStyle w:val="Vorgabetext"/>
          </w:pPr>
        </w:p>
      </w:tc>
      <w:tc>
        <w:tcPr>
          <w:tcW w:w="10206" w:type="dxa"/>
        </w:tcPr>
        <w:p w14:paraId="7A3E9539" w14:textId="77777777" w:rsidR="00E727E2" w:rsidRPr="00861D90" w:rsidRDefault="00E727E2" w:rsidP="00524816">
          <w:pPr>
            <w:pStyle w:val="Vorgabetext"/>
            <w:widowControl/>
            <w:jc w:val="center"/>
            <w:rPr>
              <w:rFonts w:ascii="Arial" w:hAnsi="Arial" w:cs="Arial"/>
              <w:b/>
              <w:bCs/>
              <w:sz w:val="22"/>
              <w:szCs w:val="22"/>
            </w:rPr>
          </w:pPr>
          <w:r w:rsidRPr="00861D90">
            <w:rPr>
              <w:rFonts w:ascii="Arial" w:hAnsi="Arial" w:cs="Arial"/>
              <w:b/>
              <w:bCs/>
              <w:sz w:val="22"/>
              <w:szCs w:val="22"/>
            </w:rPr>
            <w:t>Informationen für Uni</w:t>
          </w:r>
          <w:r w:rsidR="00A25EA6" w:rsidRPr="00861D90">
            <w:rPr>
              <w:rFonts w:ascii="Arial" w:hAnsi="Arial" w:cs="Arial"/>
              <w:b/>
              <w:bCs/>
              <w:sz w:val="22"/>
              <w:szCs w:val="22"/>
            </w:rPr>
            <w:t>versität</w:t>
          </w:r>
          <w:r w:rsidRPr="00861D90">
            <w:rPr>
              <w:rFonts w:ascii="Arial" w:hAnsi="Arial" w:cs="Arial"/>
              <w:b/>
              <w:bCs/>
              <w:sz w:val="22"/>
              <w:szCs w:val="22"/>
            </w:rPr>
            <w:t>/UMG</w:t>
          </w:r>
        </w:p>
      </w:tc>
      <w:tc>
        <w:tcPr>
          <w:tcW w:w="1985" w:type="dxa"/>
          <w:vMerge/>
          <w:tcBorders>
            <w:bottom w:val="single" w:sz="4" w:space="0" w:color="auto"/>
          </w:tcBorders>
        </w:tcPr>
        <w:p w14:paraId="4DEFAD1C" w14:textId="77777777" w:rsidR="00E727E2" w:rsidRDefault="00E727E2" w:rsidP="00524816">
          <w:pPr>
            <w:pStyle w:val="Vorgabetext"/>
            <w:widowControl/>
            <w:jc w:val="center"/>
            <w:rPr>
              <w:rFonts w:ascii="Arial" w:hAnsi="Arial" w:cs="Arial"/>
              <w:b/>
              <w:bCs/>
              <w:sz w:val="28"/>
            </w:rPr>
          </w:pPr>
        </w:p>
      </w:tc>
    </w:tr>
    <w:tr w:rsidR="00E727E2" w14:paraId="716D115D" w14:textId="77777777" w:rsidTr="00861D90">
      <w:trPr>
        <w:trHeight w:hRule="exact" w:val="302"/>
      </w:trPr>
      <w:tc>
        <w:tcPr>
          <w:tcW w:w="1951" w:type="dxa"/>
          <w:vMerge/>
          <w:tcBorders>
            <w:top w:val="single" w:sz="4" w:space="0" w:color="auto"/>
            <w:bottom w:val="single" w:sz="4" w:space="0" w:color="auto"/>
          </w:tcBorders>
        </w:tcPr>
        <w:p w14:paraId="2D2E09F0" w14:textId="77777777" w:rsidR="00E727E2" w:rsidRDefault="00E727E2" w:rsidP="00524816">
          <w:pPr>
            <w:pStyle w:val="Vorgabetext"/>
          </w:pPr>
        </w:p>
      </w:tc>
      <w:tc>
        <w:tcPr>
          <w:tcW w:w="10206" w:type="dxa"/>
        </w:tcPr>
        <w:p w14:paraId="5A400C6F" w14:textId="77777777" w:rsidR="00E727E2" w:rsidRPr="00861D90" w:rsidRDefault="00E727E2" w:rsidP="00524816">
          <w:pPr>
            <w:pStyle w:val="Vorgabetext"/>
            <w:widowControl/>
            <w:jc w:val="center"/>
            <w:rPr>
              <w:rFonts w:ascii="Arial" w:hAnsi="Arial" w:cs="Arial"/>
              <w:b/>
              <w:bCs/>
              <w:color w:val="000000"/>
              <w:sz w:val="22"/>
              <w:szCs w:val="22"/>
            </w:rPr>
          </w:pPr>
          <w:r w:rsidRPr="00861D90">
            <w:rPr>
              <w:rFonts w:ascii="Arial" w:hAnsi="Arial" w:cs="Arial"/>
              <w:b/>
              <w:bCs/>
              <w:color w:val="000000" w:themeColor="text1"/>
              <w:sz w:val="22"/>
              <w:szCs w:val="22"/>
            </w:rPr>
            <w:t>Checkliste</w:t>
          </w:r>
        </w:p>
      </w:tc>
      <w:tc>
        <w:tcPr>
          <w:tcW w:w="1985" w:type="dxa"/>
          <w:vMerge/>
          <w:tcBorders>
            <w:bottom w:val="single" w:sz="4" w:space="0" w:color="auto"/>
          </w:tcBorders>
        </w:tcPr>
        <w:p w14:paraId="6629ECC4" w14:textId="77777777" w:rsidR="00E727E2" w:rsidRDefault="00E727E2" w:rsidP="00524816">
          <w:pPr>
            <w:pStyle w:val="Vorgabetext"/>
            <w:widowControl/>
            <w:rPr>
              <w:rFonts w:ascii="Arial" w:hAnsi="Arial" w:cs="Arial"/>
              <w:b/>
              <w:bCs/>
              <w:color w:val="000000"/>
            </w:rPr>
          </w:pPr>
        </w:p>
      </w:tc>
    </w:tr>
    <w:tr w:rsidR="00E727E2" w14:paraId="4ABA0BB6" w14:textId="77777777" w:rsidTr="00861D90">
      <w:trPr>
        <w:trHeight w:hRule="exact" w:val="541"/>
      </w:trPr>
      <w:tc>
        <w:tcPr>
          <w:tcW w:w="1951" w:type="dxa"/>
          <w:vMerge/>
          <w:tcBorders>
            <w:top w:val="single" w:sz="4" w:space="0" w:color="auto"/>
            <w:bottom w:val="single" w:sz="4" w:space="0" w:color="auto"/>
          </w:tcBorders>
        </w:tcPr>
        <w:p w14:paraId="004007C9" w14:textId="77777777" w:rsidR="00E727E2" w:rsidRDefault="00E727E2" w:rsidP="00524816">
          <w:pPr>
            <w:pStyle w:val="Vorgabetext"/>
            <w:widowControl/>
            <w:rPr>
              <w:rFonts w:ascii="Arial" w:hAnsi="Arial" w:cs="Arial"/>
              <w:b/>
              <w:bCs/>
              <w:color w:val="0000FF"/>
            </w:rPr>
          </w:pPr>
        </w:p>
      </w:tc>
      <w:tc>
        <w:tcPr>
          <w:tcW w:w="10206" w:type="dxa"/>
          <w:tcBorders>
            <w:bottom w:val="single" w:sz="4" w:space="0" w:color="auto"/>
          </w:tcBorders>
        </w:tcPr>
        <w:p w14:paraId="33776C2F" w14:textId="77777777" w:rsidR="00944402" w:rsidRPr="00861D90" w:rsidRDefault="00944402" w:rsidP="00944402">
          <w:pPr>
            <w:pStyle w:val="Vorgabetext"/>
            <w:widowControl/>
            <w:jc w:val="center"/>
            <w:rPr>
              <w:rFonts w:ascii="Arial" w:hAnsi="Arial" w:cs="Arial"/>
              <w:b/>
              <w:bCs/>
              <w:color w:val="FF0000"/>
              <w:sz w:val="22"/>
              <w:szCs w:val="22"/>
            </w:rPr>
          </w:pPr>
          <w:r w:rsidRPr="00861D90">
            <w:rPr>
              <w:rFonts w:ascii="Arial" w:hAnsi="Arial" w:cs="Arial"/>
              <w:b/>
              <w:bCs/>
              <w:color w:val="FF0000"/>
              <w:sz w:val="22"/>
              <w:szCs w:val="22"/>
            </w:rPr>
            <w:t>Biostoff S2 Labor:</w:t>
          </w:r>
        </w:p>
        <w:p w14:paraId="077E0977" w14:textId="77777777" w:rsidR="00944402" w:rsidRPr="00861D90" w:rsidRDefault="00E727E2" w:rsidP="00944402">
          <w:pPr>
            <w:pStyle w:val="Vorgabetext"/>
            <w:widowControl/>
            <w:jc w:val="center"/>
            <w:rPr>
              <w:rFonts w:ascii="Arial" w:hAnsi="Arial" w:cs="Arial"/>
              <w:b/>
              <w:bCs/>
              <w:color w:val="0000FF"/>
              <w:sz w:val="22"/>
              <w:szCs w:val="22"/>
            </w:rPr>
          </w:pPr>
          <w:r w:rsidRPr="00861D90">
            <w:rPr>
              <w:rFonts w:ascii="Arial" w:hAnsi="Arial" w:cs="Arial"/>
              <w:b/>
              <w:bCs/>
              <w:color w:val="0000FF"/>
              <w:sz w:val="22"/>
              <w:szCs w:val="22"/>
            </w:rPr>
            <w:t>Bauliche, technische und</w:t>
          </w:r>
          <w:r w:rsidR="00944402" w:rsidRPr="00861D90">
            <w:rPr>
              <w:rFonts w:ascii="Arial" w:hAnsi="Arial" w:cs="Arial"/>
              <w:b/>
              <w:bCs/>
              <w:color w:val="0000FF"/>
              <w:sz w:val="22"/>
              <w:szCs w:val="22"/>
            </w:rPr>
            <w:t xml:space="preserve"> organisatorische </w:t>
          </w:r>
          <w:r w:rsidR="00006DF0" w:rsidRPr="00861D90">
            <w:rPr>
              <w:rFonts w:ascii="Arial" w:hAnsi="Arial" w:cs="Arial"/>
              <w:b/>
              <w:bCs/>
              <w:color w:val="0000FF"/>
              <w:sz w:val="22"/>
              <w:szCs w:val="22"/>
            </w:rPr>
            <w:t>Schutzmaßnahmen</w:t>
          </w:r>
        </w:p>
        <w:p w14:paraId="093DD98C" w14:textId="77777777" w:rsidR="00E727E2" w:rsidRPr="00861D90" w:rsidRDefault="00E727E2" w:rsidP="00524816">
          <w:pPr>
            <w:pStyle w:val="Vorgabetext"/>
            <w:widowControl/>
            <w:jc w:val="center"/>
            <w:rPr>
              <w:rFonts w:ascii="Arial" w:hAnsi="Arial" w:cs="Arial"/>
              <w:b/>
              <w:bCs/>
              <w:color w:val="0000FF"/>
              <w:sz w:val="22"/>
              <w:szCs w:val="22"/>
            </w:rPr>
          </w:pPr>
        </w:p>
      </w:tc>
      <w:tc>
        <w:tcPr>
          <w:tcW w:w="1985" w:type="dxa"/>
          <w:vMerge/>
          <w:tcBorders>
            <w:bottom w:val="single" w:sz="4" w:space="0" w:color="auto"/>
          </w:tcBorders>
        </w:tcPr>
        <w:p w14:paraId="24CF95FF" w14:textId="77777777" w:rsidR="00E727E2" w:rsidRDefault="00E727E2" w:rsidP="00524816">
          <w:pPr>
            <w:pStyle w:val="Vorgabetext"/>
            <w:widowControl/>
            <w:rPr>
              <w:rFonts w:ascii="Arial" w:hAnsi="Arial" w:cs="Arial"/>
              <w:b/>
              <w:bCs/>
              <w:color w:val="0000FF"/>
            </w:rPr>
          </w:pPr>
        </w:p>
      </w:tc>
    </w:tr>
  </w:tbl>
  <w:p w14:paraId="5E60282C" w14:textId="77777777" w:rsidR="00E727E2" w:rsidRDefault="00E727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33"/>
    <w:multiLevelType w:val="hybridMultilevel"/>
    <w:tmpl w:val="17A699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728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0141A"/>
    <w:multiLevelType w:val="hybridMultilevel"/>
    <w:tmpl w:val="A4EEE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270E39"/>
    <w:multiLevelType w:val="hybridMultilevel"/>
    <w:tmpl w:val="893068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5F4DBB"/>
    <w:multiLevelType w:val="hybridMultilevel"/>
    <w:tmpl w:val="9C608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BF36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070FD4"/>
    <w:multiLevelType w:val="hybridMultilevel"/>
    <w:tmpl w:val="B4CED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B47953"/>
    <w:multiLevelType w:val="hybridMultilevel"/>
    <w:tmpl w:val="58D08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A65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F34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B3EDD"/>
    <w:multiLevelType w:val="hybridMultilevel"/>
    <w:tmpl w:val="BA36506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1C757A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632372"/>
    <w:multiLevelType w:val="hybridMultilevel"/>
    <w:tmpl w:val="F6B2C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90429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DE60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C157C"/>
    <w:multiLevelType w:val="hybridMultilevel"/>
    <w:tmpl w:val="D238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A7515E"/>
    <w:multiLevelType w:val="hybridMultilevel"/>
    <w:tmpl w:val="817E51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9F2ABE"/>
    <w:multiLevelType w:val="hybridMultilevel"/>
    <w:tmpl w:val="0B1477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7376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E75004"/>
    <w:multiLevelType w:val="hybridMultilevel"/>
    <w:tmpl w:val="D69243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C164B3"/>
    <w:multiLevelType w:val="hybridMultilevel"/>
    <w:tmpl w:val="049416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654C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0F38AC"/>
    <w:multiLevelType w:val="hybridMultilevel"/>
    <w:tmpl w:val="C5FAB3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56C04880"/>
    <w:multiLevelType w:val="hybridMultilevel"/>
    <w:tmpl w:val="1A00F5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82A7955"/>
    <w:multiLevelType w:val="hybridMultilevel"/>
    <w:tmpl w:val="234EB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91078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80399D"/>
    <w:multiLevelType w:val="hybridMultilevel"/>
    <w:tmpl w:val="D7EAE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AEB40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7230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BC3E1A"/>
    <w:multiLevelType w:val="hybridMultilevel"/>
    <w:tmpl w:val="668459FA"/>
    <w:lvl w:ilvl="0" w:tplc="512A341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2A1CA6"/>
    <w:multiLevelType w:val="hybridMultilevel"/>
    <w:tmpl w:val="62F24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176384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D277F2"/>
    <w:multiLevelType w:val="hybridMultilevel"/>
    <w:tmpl w:val="95509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0C7D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8A53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8F45D8"/>
    <w:multiLevelType w:val="hybridMultilevel"/>
    <w:tmpl w:val="89F05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3596DA7"/>
    <w:multiLevelType w:val="hybridMultilevel"/>
    <w:tmpl w:val="FE4663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4C69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3216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5B0C4A"/>
    <w:multiLevelType w:val="hybridMultilevel"/>
    <w:tmpl w:val="2EE0A3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DD643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40"/>
  </w:num>
  <w:num w:numId="3">
    <w:abstractNumId w:val="25"/>
  </w:num>
  <w:num w:numId="4">
    <w:abstractNumId w:val="27"/>
  </w:num>
  <w:num w:numId="5">
    <w:abstractNumId w:val="6"/>
  </w:num>
  <w:num w:numId="6">
    <w:abstractNumId w:val="29"/>
  </w:num>
  <w:num w:numId="7">
    <w:abstractNumId w:val="11"/>
  </w:num>
  <w:num w:numId="8">
    <w:abstractNumId w:val="28"/>
  </w:num>
  <w:num w:numId="9">
    <w:abstractNumId w:val="34"/>
  </w:num>
  <w:num w:numId="10">
    <w:abstractNumId w:val="1"/>
  </w:num>
  <w:num w:numId="11">
    <w:abstractNumId w:val="17"/>
  </w:num>
  <w:num w:numId="12">
    <w:abstractNumId w:val="4"/>
  </w:num>
  <w:num w:numId="13">
    <w:abstractNumId w:val="0"/>
  </w:num>
  <w:num w:numId="14">
    <w:abstractNumId w:val="15"/>
  </w:num>
  <w:num w:numId="15">
    <w:abstractNumId w:val="12"/>
  </w:num>
  <w:num w:numId="16">
    <w:abstractNumId w:val="26"/>
  </w:num>
  <w:num w:numId="17">
    <w:abstractNumId w:val="20"/>
  </w:num>
  <w:num w:numId="18">
    <w:abstractNumId w:val="24"/>
  </w:num>
  <w:num w:numId="19">
    <w:abstractNumId w:val="30"/>
  </w:num>
  <w:num w:numId="20">
    <w:abstractNumId w:val="36"/>
  </w:num>
  <w:num w:numId="21">
    <w:abstractNumId w:val="35"/>
  </w:num>
  <w:num w:numId="22">
    <w:abstractNumId w:val="14"/>
  </w:num>
  <w:num w:numId="23">
    <w:abstractNumId w:val="33"/>
  </w:num>
  <w:num w:numId="24">
    <w:abstractNumId w:val="21"/>
  </w:num>
  <w:num w:numId="25">
    <w:abstractNumId w:val="39"/>
  </w:num>
  <w:num w:numId="26">
    <w:abstractNumId w:val="23"/>
  </w:num>
  <w:num w:numId="27">
    <w:abstractNumId w:val="41"/>
  </w:num>
  <w:num w:numId="28">
    <w:abstractNumId w:val="37"/>
  </w:num>
  <w:num w:numId="29">
    <w:abstractNumId w:val="3"/>
  </w:num>
  <w:num w:numId="30">
    <w:abstractNumId w:val="16"/>
  </w:num>
  <w:num w:numId="31">
    <w:abstractNumId w:val="9"/>
  </w:num>
  <w:num w:numId="32">
    <w:abstractNumId w:val="42"/>
  </w:num>
  <w:num w:numId="33">
    <w:abstractNumId w:val="7"/>
  </w:num>
  <w:num w:numId="34">
    <w:abstractNumId w:val="8"/>
  </w:num>
  <w:num w:numId="35">
    <w:abstractNumId w:val="5"/>
  </w:num>
  <w:num w:numId="36">
    <w:abstractNumId w:val="13"/>
  </w:num>
  <w:num w:numId="37">
    <w:abstractNumId w:val="18"/>
  </w:num>
  <w:num w:numId="38">
    <w:abstractNumId w:val="2"/>
  </w:num>
  <w:num w:numId="39">
    <w:abstractNumId w:val="32"/>
  </w:num>
  <w:num w:numId="40">
    <w:abstractNumId w:val="10"/>
  </w:num>
  <w:num w:numId="41">
    <w:abstractNumId w:val="31"/>
  </w:num>
  <w:num w:numId="42">
    <w:abstractNumId w:val="2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CB"/>
    <w:rsid w:val="00006DF0"/>
    <w:rsid w:val="00007828"/>
    <w:rsid w:val="0001769F"/>
    <w:rsid w:val="000334F3"/>
    <w:rsid w:val="00043747"/>
    <w:rsid w:val="000461B4"/>
    <w:rsid w:val="00047F6F"/>
    <w:rsid w:val="0008416D"/>
    <w:rsid w:val="0008742B"/>
    <w:rsid w:val="00095D60"/>
    <w:rsid w:val="000A334F"/>
    <w:rsid w:val="000B0ED6"/>
    <w:rsid w:val="000D1512"/>
    <w:rsid w:val="00102693"/>
    <w:rsid w:val="001244D9"/>
    <w:rsid w:val="00157072"/>
    <w:rsid w:val="001723CE"/>
    <w:rsid w:val="00172E8F"/>
    <w:rsid w:val="001A1C1E"/>
    <w:rsid w:val="001A5CEC"/>
    <w:rsid w:val="001D2F87"/>
    <w:rsid w:val="001D3D91"/>
    <w:rsid w:val="001D5CA4"/>
    <w:rsid w:val="001E05A1"/>
    <w:rsid w:val="001E252E"/>
    <w:rsid w:val="001E3922"/>
    <w:rsid w:val="001E4245"/>
    <w:rsid w:val="001E7C5A"/>
    <w:rsid w:val="00211683"/>
    <w:rsid w:val="0022626C"/>
    <w:rsid w:val="00241387"/>
    <w:rsid w:val="00250E4B"/>
    <w:rsid w:val="00280917"/>
    <w:rsid w:val="002A6385"/>
    <w:rsid w:val="002D4EBD"/>
    <w:rsid w:val="002F35F7"/>
    <w:rsid w:val="00311ACB"/>
    <w:rsid w:val="00315FBF"/>
    <w:rsid w:val="003533C8"/>
    <w:rsid w:val="0035468D"/>
    <w:rsid w:val="0036273B"/>
    <w:rsid w:val="00386284"/>
    <w:rsid w:val="003E6960"/>
    <w:rsid w:val="003E793B"/>
    <w:rsid w:val="003F30E4"/>
    <w:rsid w:val="003F5873"/>
    <w:rsid w:val="00403118"/>
    <w:rsid w:val="0040747A"/>
    <w:rsid w:val="00415034"/>
    <w:rsid w:val="004212D4"/>
    <w:rsid w:val="00430853"/>
    <w:rsid w:val="00430A4C"/>
    <w:rsid w:val="00431EFA"/>
    <w:rsid w:val="004331BB"/>
    <w:rsid w:val="00455AB9"/>
    <w:rsid w:val="00482EB9"/>
    <w:rsid w:val="004B6205"/>
    <w:rsid w:val="004C7A34"/>
    <w:rsid w:val="004D3822"/>
    <w:rsid w:val="004F29CE"/>
    <w:rsid w:val="00511869"/>
    <w:rsid w:val="0053469D"/>
    <w:rsid w:val="00542E88"/>
    <w:rsid w:val="00560F7D"/>
    <w:rsid w:val="00562161"/>
    <w:rsid w:val="0057123C"/>
    <w:rsid w:val="0058195F"/>
    <w:rsid w:val="005857EA"/>
    <w:rsid w:val="00594802"/>
    <w:rsid w:val="005C74A8"/>
    <w:rsid w:val="005C7EF9"/>
    <w:rsid w:val="005E7880"/>
    <w:rsid w:val="005F294C"/>
    <w:rsid w:val="005F7292"/>
    <w:rsid w:val="006137B7"/>
    <w:rsid w:val="006262C4"/>
    <w:rsid w:val="00632FCA"/>
    <w:rsid w:val="00650E86"/>
    <w:rsid w:val="006A4834"/>
    <w:rsid w:val="006C2A14"/>
    <w:rsid w:val="006E3AAA"/>
    <w:rsid w:val="006E6120"/>
    <w:rsid w:val="00710195"/>
    <w:rsid w:val="00715C7F"/>
    <w:rsid w:val="00722314"/>
    <w:rsid w:val="007320F8"/>
    <w:rsid w:val="00747FE9"/>
    <w:rsid w:val="00755E23"/>
    <w:rsid w:val="007607D8"/>
    <w:rsid w:val="00763E7A"/>
    <w:rsid w:val="007B24C9"/>
    <w:rsid w:val="007B3511"/>
    <w:rsid w:val="00804259"/>
    <w:rsid w:val="0080649C"/>
    <w:rsid w:val="00811705"/>
    <w:rsid w:val="0081524A"/>
    <w:rsid w:val="00816304"/>
    <w:rsid w:val="00831D8D"/>
    <w:rsid w:val="00852095"/>
    <w:rsid w:val="00856336"/>
    <w:rsid w:val="00861D90"/>
    <w:rsid w:val="0087233F"/>
    <w:rsid w:val="0088614C"/>
    <w:rsid w:val="00887EC1"/>
    <w:rsid w:val="008A4C40"/>
    <w:rsid w:val="008A5478"/>
    <w:rsid w:val="008A7435"/>
    <w:rsid w:val="008E2D2A"/>
    <w:rsid w:val="008E4675"/>
    <w:rsid w:val="008F05E6"/>
    <w:rsid w:val="008F35E2"/>
    <w:rsid w:val="008F422E"/>
    <w:rsid w:val="00916EA4"/>
    <w:rsid w:val="00944402"/>
    <w:rsid w:val="00970F1D"/>
    <w:rsid w:val="00990E7B"/>
    <w:rsid w:val="009A2C2D"/>
    <w:rsid w:val="009D666A"/>
    <w:rsid w:val="009F39E0"/>
    <w:rsid w:val="00A07BE5"/>
    <w:rsid w:val="00A15C2F"/>
    <w:rsid w:val="00A24C8B"/>
    <w:rsid w:val="00A25EA6"/>
    <w:rsid w:val="00A549E0"/>
    <w:rsid w:val="00A86D1B"/>
    <w:rsid w:val="00AB797F"/>
    <w:rsid w:val="00AC096C"/>
    <w:rsid w:val="00AD092A"/>
    <w:rsid w:val="00AF4C0B"/>
    <w:rsid w:val="00B13269"/>
    <w:rsid w:val="00B363B8"/>
    <w:rsid w:val="00B41C2C"/>
    <w:rsid w:val="00B55155"/>
    <w:rsid w:val="00B64AB0"/>
    <w:rsid w:val="00B8678B"/>
    <w:rsid w:val="00B94DCA"/>
    <w:rsid w:val="00BB006A"/>
    <w:rsid w:val="00BB6EDA"/>
    <w:rsid w:val="00BC154F"/>
    <w:rsid w:val="00BC3BB9"/>
    <w:rsid w:val="00BE0ACE"/>
    <w:rsid w:val="00BF6F24"/>
    <w:rsid w:val="00C016C3"/>
    <w:rsid w:val="00C03E98"/>
    <w:rsid w:val="00C20CF2"/>
    <w:rsid w:val="00C35FA4"/>
    <w:rsid w:val="00C57F85"/>
    <w:rsid w:val="00C64AE0"/>
    <w:rsid w:val="00C9445D"/>
    <w:rsid w:val="00CB1CD7"/>
    <w:rsid w:val="00CB4AF0"/>
    <w:rsid w:val="00CC3E38"/>
    <w:rsid w:val="00CD0100"/>
    <w:rsid w:val="00CD2123"/>
    <w:rsid w:val="00CE2C94"/>
    <w:rsid w:val="00CF2BC1"/>
    <w:rsid w:val="00CF6D06"/>
    <w:rsid w:val="00D133DC"/>
    <w:rsid w:val="00D15EC6"/>
    <w:rsid w:val="00D202AD"/>
    <w:rsid w:val="00D2362C"/>
    <w:rsid w:val="00D27835"/>
    <w:rsid w:val="00D45A82"/>
    <w:rsid w:val="00D73A5C"/>
    <w:rsid w:val="00DC1759"/>
    <w:rsid w:val="00DC3746"/>
    <w:rsid w:val="00E02E8D"/>
    <w:rsid w:val="00E04DD6"/>
    <w:rsid w:val="00E26750"/>
    <w:rsid w:val="00E26A19"/>
    <w:rsid w:val="00E31C83"/>
    <w:rsid w:val="00E32A9D"/>
    <w:rsid w:val="00E358C1"/>
    <w:rsid w:val="00E410B1"/>
    <w:rsid w:val="00E637DE"/>
    <w:rsid w:val="00E645DA"/>
    <w:rsid w:val="00E727E2"/>
    <w:rsid w:val="00E80AF1"/>
    <w:rsid w:val="00E8494A"/>
    <w:rsid w:val="00E95E7F"/>
    <w:rsid w:val="00EB7620"/>
    <w:rsid w:val="00EC2D68"/>
    <w:rsid w:val="00ED2498"/>
    <w:rsid w:val="00F01537"/>
    <w:rsid w:val="00F079D3"/>
    <w:rsid w:val="00F13B67"/>
    <w:rsid w:val="00F168C7"/>
    <w:rsid w:val="00F2779A"/>
    <w:rsid w:val="00F528B5"/>
    <w:rsid w:val="00F56FF6"/>
    <w:rsid w:val="00F61AE2"/>
    <w:rsid w:val="00F65C6C"/>
    <w:rsid w:val="00F665EA"/>
    <w:rsid w:val="00F71F23"/>
    <w:rsid w:val="00F84C73"/>
    <w:rsid w:val="00FA51D1"/>
    <w:rsid w:val="00FB46C2"/>
    <w:rsid w:val="00FD43A9"/>
    <w:rsid w:val="00FD5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D68A3"/>
  <w15:docId w15:val="{71D75E85-CD30-408E-9E41-E17D8533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iPriority w:val="99"/>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EF451-72A8-4A9A-BB59-AD201551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2142</Words>
  <Characters>13500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3</cp:revision>
  <cp:lastPrinted>2019-05-27T06:46:00Z</cp:lastPrinted>
  <dcterms:created xsi:type="dcterms:W3CDTF">2023-06-07T07:28:00Z</dcterms:created>
  <dcterms:modified xsi:type="dcterms:W3CDTF">2023-06-07T07:34:00Z</dcterms:modified>
</cp:coreProperties>
</file>