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A8BA" w14:textId="633E1053" w:rsidR="00F65C6C" w:rsidRPr="004C49D2" w:rsidRDefault="004212D4" w:rsidP="004C49D2">
      <w:pPr>
        <w:jc w:val="both"/>
        <w:rPr>
          <w:rFonts w:cstheme="minorHAnsi"/>
        </w:rPr>
      </w:pPr>
      <w:r w:rsidRPr="00B33272">
        <w:rPr>
          <w:rFonts w:cstheme="minorHAnsi"/>
          <w:b/>
          <w:bCs/>
        </w:rPr>
        <w:t xml:space="preserve">Diese Checkliste </w:t>
      </w:r>
      <w:r w:rsidR="00B33272" w:rsidRPr="00B33272">
        <w:rPr>
          <w:rFonts w:cstheme="minorHAnsi"/>
          <w:b/>
          <w:bCs/>
        </w:rPr>
        <w:t xml:space="preserve">umfasst alle Vorgaben gemäß TRBA 100, Kapitel </w:t>
      </w:r>
      <w:r w:rsidR="00B33272">
        <w:rPr>
          <w:rFonts w:cstheme="minorHAnsi"/>
          <w:b/>
          <w:bCs/>
        </w:rPr>
        <w:t xml:space="preserve">5.1 und </w:t>
      </w:r>
      <w:r w:rsidR="00B33272" w:rsidRPr="00B33272">
        <w:rPr>
          <w:rFonts w:cstheme="minorHAnsi"/>
          <w:b/>
          <w:bCs/>
        </w:rPr>
        <w:t>5.4.2</w:t>
      </w:r>
      <w:r w:rsidR="00B33272">
        <w:rPr>
          <w:rFonts w:cstheme="minorHAnsi"/>
          <w:b/>
          <w:bCs/>
        </w:rPr>
        <w:t xml:space="preserve"> </w:t>
      </w:r>
      <w:r w:rsidR="00B33272" w:rsidRPr="00B33272">
        <w:rPr>
          <w:rFonts w:cstheme="minorHAnsi"/>
          <w:b/>
          <w:bCs/>
        </w:rPr>
        <w:t>für den Betrieb von Laboren der Schutzstufe 3 gemäß Biostoffverordnung</w:t>
      </w:r>
      <w:r w:rsidR="00B33272">
        <w:rPr>
          <w:rFonts w:cstheme="minorHAnsi"/>
        </w:rPr>
        <w:t xml:space="preserve">. </w:t>
      </w:r>
      <w:r w:rsidR="000A1425" w:rsidRPr="004C49D2">
        <w:rPr>
          <w:rFonts w:cstheme="minorHAnsi"/>
        </w:rPr>
        <w:t>Aufgaben der</w:t>
      </w:r>
      <w:r w:rsidR="00944402" w:rsidRPr="004C49D2">
        <w:rPr>
          <w:rFonts w:cstheme="minorHAnsi"/>
        </w:rPr>
        <w:t xml:space="preserve"> verantwortlichen Personen</w:t>
      </w:r>
      <w:r w:rsidR="000A1425">
        <w:rPr>
          <w:rFonts w:cstheme="minorHAnsi"/>
        </w:rPr>
        <w:t xml:space="preserve"> sowie Vorgaben zu</w:t>
      </w:r>
      <w:r w:rsidR="003E6960" w:rsidRPr="004C49D2">
        <w:rPr>
          <w:rFonts w:cstheme="minorHAnsi"/>
        </w:rPr>
        <w:t xml:space="preserve"> Anzeige</w:t>
      </w:r>
      <w:r w:rsidR="00944402" w:rsidRPr="004C49D2">
        <w:rPr>
          <w:rFonts w:cstheme="minorHAnsi"/>
        </w:rPr>
        <w:t>- und Erlaubnis</w:t>
      </w:r>
      <w:r w:rsidR="003E6960" w:rsidRPr="004C49D2">
        <w:rPr>
          <w:rFonts w:cstheme="minorHAnsi"/>
        </w:rPr>
        <w:t xml:space="preserve">pflichten werden nicht behandelt. </w:t>
      </w:r>
      <w:r w:rsidR="00944402" w:rsidRPr="004C49D2">
        <w:rPr>
          <w:rFonts w:cstheme="minorHAnsi"/>
        </w:rPr>
        <w:t xml:space="preserve">Weiterführende Erläuterungen </w:t>
      </w:r>
      <w:r w:rsidR="00CE2C94" w:rsidRPr="004C49D2">
        <w:rPr>
          <w:rFonts w:cstheme="minorHAnsi"/>
        </w:rPr>
        <w:t>hierzu</w:t>
      </w:r>
      <w:r w:rsidR="00944402" w:rsidRPr="004C49D2">
        <w:rPr>
          <w:rFonts w:cstheme="minorHAnsi"/>
        </w:rPr>
        <w:t xml:space="preserve"> </w:t>
      </w:r>
      <w:r w:rsidR="000A1425" w:rsidRPr="004C49D2">
        <w:rPr>
          <w:rFonts w:cstheme="minorHAnsi"/>
        </w:rPr>
        <w:t>siehe Merkblatt</w:t>
      </w:r>
      <w:r w:rsidR="00944402" w:rsidRPr="004C49D2">
        <w:rPr>
          <w:rFonts w:cstheme="minorHAnsi"/>
        </w:rPr>
        <w:t xml:space="preserve"> „Biostoff-Verordnung (BioStoffV): Hilfestellungen für Anzeigen u. Pflichten“.</w:t>
      </w:r>
    </w:p>
    <w:p w14:paraId="6424D796" w14:textId="77777777" w:rsidR="001E05A1" w:rsidRPr="004C49D2" w:rsidRDefault="004212D4" w:rsidP="004C49D2">
      <w:pPr>
        <w:jc w:val="both"/>
        <w:rPr>
          <w:rFonts w:cstheme="minorHAnsi"/>
        </w:rPr>
      </w:pPr>
      <w:r w:rsidRPr="004C49D2">
        <w:rPr>
          <w:rFonts w:cstheme="minorHAnsi"/>
        </w:rPr>
        <w:t xml:space="preserve">Selbstverständlich gibt es über diese Aufzählung hinausgehende Anforderungen an </w:t>
      </w:r>
      <w:r w:rsidR="005857EA" w:rsidRPr="004C49D2">
        <w:rPr>
          <w:rFonts w:cstheme="minorHAnsi"/>
        </w:rPr>
        <w:t xml:space="preserve">den Betrieb von </w:t>
      </w:r>
      <w:r w:rsidRPr="004C49D2">
        <w:rPr>
          <w:rFonts w:cstheme="minorHAnsi"/>
        </w:rPr>
        <w:t>Labore</w:t>
      </w:r>
      <w:r w:rsidR="005857EA" w:rsidRPr="004C49D2">
        <w:rPr>
          <w:rFonts w:cstheme="minorHAnsi"/>
        </w:rPr>
        <w:t>n</w:t>
      </w:r>
      <w:r w:rsidRPr="004C49D2">
        <w:rPr>
          <w:rFonts w:cstheme="minorHAnsi"/>
        </w:rPr>
        <w:t xml:space="preserve"> z.B. aus </w:t>
      </w:r>
      <w:r w:rsidR="005857EA" w:rsidRPr="004C49D2">
        <w:rPr>
          <w:rFonts w:cstheme="minorHAnsi"/>
        </w:rPr>
        <w:t>der</w:t>
      </w:r>
      <w:r w:rsidR="00CE2C94" w:rsidRPr="004C49D2">
        <w:rPr>
          <w:rFonts w:cstheme="minorHAnsi"/>
        </w:rPr>
        <w:t xml:space="preserve"> Laborrichtlinie, der</w:t>
      </w:r>
      <w:r w:rsidR="005857EA" w:rsidRPr="004C49D2">
        <w:rPr>
          <w:rFonts w:cstheme="minorHAnsi"/>
        </w:rPr>
        <w:t xml:space="preserve"> Arbeitssicherheit, dem Strahlenschutz, dem Brandschutz</w:t>
      </w:r>
      <w:r w:rsidR="00F65C6C" w:rsidRPr="004C49D2">
        <w:rPr>
          <w:rFonts w:cstheme="minorHAnsi"/>
        </w:rPr>
        <w:t>, dem Infektionsschutz</w:t>
      </w:r>
      <w:r w:rsidR="005857EA" w:rsidRPr="004C49D2">
        <w:rPr>
          <w:rFonts w:cstheme="minorHAnsi"/>
        </w:rPr>
        <w:t xml:space="preserve"> </w:t>
      </w:r>
      <w:r w:rsidR="003E6960" w:rsidRPr="004C49D2">
        <w:rPr>
          <w:rFonts w:cstheme="minorHAnsi"/>
        </w:rPr>
        <w:t>oder dem Gefahrstoffrecht</w:t>
      </w:r>
      <w:r w:rsidRPr="004C49D2">
        <w:rPr>
          <w:rFonts w:cstheme="minorHAnsi"/>
        </w:rPr>
        <w:t>. Diese Liste ist daher nicht als abschließend zu betrachten.</w:t>
      </w:r>
    </w:p>
    <w:tbl>
      <w:tblPr>
        <w:tblStyle w:val="Tabellenraster"/>
        <w:tblW w:w="13296" w:type="dxa"/>
        <w:tblLayout w:type="fixed"/>
        <w:tblLook w:val="04A0" w:firstRow="1" w:lastRow="0" w:firstColumn="1" w:lastColumn="0" w:noHBand="0" w:noVBand="1"/>
      </w:tblPr>
      <w:tblGrid>
        <w:gridCol w:w="9493"/>
        <w:gridCol w:w="425"/>
        <w:gridCol w:w="425"/>
        <w:gridCol w:w="6"/>
        <w:gridCol w:w="2941"/>
        <w:gridCol w:w="6"/>
      </w:tblGrid>
      <w:tr w:rsidR="00BF3E44" w:rsidRPr="004C49D2" w14:paraId="131289AA" w14:textId="77777777" w:rsidTr="00BF3E44">
        <w:trPr>
          <w:tblHeader/>
        </w:trPr>
        <w:tc>
          <w:tcPr>
            <w:tcW w:w="9493" w:type="dxa"/>
            <w:shd w:val="clear" w:color="auto" w:fill="BFBFBF" w:themeFill="background1" w:themeFillShade="BF"/>
            <w:vAlign w:val="center"/>
          </w:tcPr>
          <w:p w14:paraId="746F849C" w14:textId="77777777" w:rsidR="00BF3E44" w:rsidRPr="004C49D2" w:rsidRDefault="00BF3E44" w:rsidP="00554C7C">
            <w:pPr>
              <w:jc w:val="center"/>
              <w:rPr>
                <w:rFonts w:cstheme="minorHAnsi"/>
                <w:b/>
              </w:rPr>
            </w:pPr>
            <w:r w:rsidRPr="004C49D2">
              <w:rPr>
                <w:rFonts w:cstheme="minorHAnsi"/>
                <w:b/>
              </w:rPr>
              <w:t>Anforderung</w:t>
            </w:r>
          </w:p>
        </w:tc>
        <w:tc>
          <w:tcPr>
            <w:tcW w:w="856" w:type="dxa"/>
            <w:gridSpan w:val="3"/>
            <w:shd w:val="clear" w:color="auto" w:fill="BFBFBF" w:themeFill="background1" w:themeFillShade="BF"/>
            <w:vAlign w:val="center"/>
          </w:tcPr>
          <w:p w14:paraId="14C8E9D3" w14:textId="54B8900B" w:rsidR="00BF3E44" w:rsidRPr="004C49D2" w:rsidRDefault="00BF3E44" w:rsidP="00BF3E44">
            <w:pPr>
              <w:jc w:val="center"/>
              <w:rPr>
                <w:rFonts w:cstheme="minorHAnsi"/>
                <w:b/>
              </w:rPr>
            </w:pPr>
            <w:r w:rsidRPr="004C49D2">
              <w:rPr>
                <w:rFonts w:cstheme="minorHAnsi"/>
                <w:b/>
              </w:rPr>
              <w:t>Erfüllt?</w:t>
            </w:r>
          </w:p>
        </w:tc>
        <w:tc>
          <w:tcPr>
            <w:tcW w:w="2947" w:type="dxa"/>
            <w:gridSpan w:val="2"/>
            <w:shd w:val="clear" w:color="auto" w:fill="BFBFBF" w:themeFill="background1" w:themeFillShade="BF"/>
            <w:vAlign w:val="center"/>
          </w:tcPr>
          <w:p w14:paraId="160D30B7" w14:textId="126324A8" w:rsidR="00BF3E44" w:rsidRPr="004C49D2" w:rsidRDefault="00BF3E44" w:rsidP="004C49D2">
            <w:pPr>
              <w:jc w:val="center"/>
              <w:rPr>
                <w:rFonts w:cstheme="minorHAnsi"/>
                <w:b/>
              </w:rPr>
            </w:pPr>
            <w:r>
              <w:rPr>
                <w:rFonts w:cstheme="minorHAnsi"/>
                <w:b/>
              </w:rPr>
              <w:t xml:space="preserve">Beschreibung </w:t>
            </w:r>
            <w:r w:rsidRPr="004C49D2">
              <w:rPr>
                <w:rFonts w:cstheme="minorHAnsi"/>
                <w:b/>
              </w:rPr>
              <w:t>Maßnahmen</w:t>
            </w:r>
          </w:p>
        </w:tc>
      </w:tr>
      <w:tr w:rsidR="00BF3E44" w:rsidRPr="004C49D2" w14:paraId="3B4399C8" w14:textId="77777777" w:rsidTr="00BF3E44">
        <w:trPr>
          <w:gridAfter w:val="1"/>
          <w:wAfter w:w="6" w:type="dxa"/>
          <w:cantSplit/>
          <w:trHeight w:val="1134"/>
          <w:tblHeader/>
        </w:trPr>
        <w:tc>
          <w:tcPr>
            <w:tcW w:w="9493" w:type="dxa"/>
            <w:shd w:val="clear" w:color="auto" w:fill="BFBFBF" w:themeFill="background1" w:themeFillShade="BF"/>
            <w:vAlign w:val="center"/>
          </w:tcPr>
          <w:p w14:paraId="4938068A" w14:textId="77777777" w:rsidR="00BF3E44" w:rsidRPr="004C49D2" w:rsidRDefault="00BF3E44" w:rsidP="004C49D2">
            <w:pPr>
              <w:jc w:val="center"/>
              <w:rPr>
                <w:rFonts w:cstheme="minorHAnsi"/>
                <w:b/>
              </w:rPr>
            </w:pPr>
          </w:p>
        </w:tc>
        <w:tc>
          <w:tcPr>
            <w:tcW w:w="425" w:type="dxa"/>
            <w:shd w:val="clear" w:color="auto" w:fill="BFBFBF" w:themeFill="background1" w:themeFillShade="BF"/>
            <w:textDirection w:val="tbRl"/>
            <w:vAlign w:val="center"/>
          </w:tcPr>
          <w:p w14:paraId="055FB66D" w14:textId="77777777" w:rsidR="00BF3E44" w:rsidRPr="004C49D2" w:rsidRDefault="00BF3E44" w:rsidP="00BF3E44">
            <w:pPr>
              <w:ind w:right="113"/>
              <w:jc w:val="center"/>
              <w:rPr>
                <w:rFonts w:cstheme="minorHAnsi"/>
                <w:b/>
              </w:rPr>
            </w:pPr>
            <w:r w:rsidRPr="004C49D2">
              <w:rPr>
                <w:rFonts w:cstheme="minorHAnsi"/>
                <w:b/>
              </w:rPr>
              <w:t>Ja</w:t>
            </w:r>
          </w:p>
        </w:tc>
        <w:tc>
          <w:tcPr>
            <w:tcW w:w="425" w:type="dxa"/>
            <w:shd w:val="clear" w:color="auto" w:fill="BFBFBF" w:themeFill="background1" w:themeFillShade="BF"/>
            <w:textDirection w:val="tbRl"/>
            <w:vAlign w:val="center"/>
          </w:tcPr>
          <w:p w14:paraId="43E6225A" w14:textId="77777777" w:rsidR="00BF3E44" w:rsidRPr="004C49D2" w:rsidRDefault="00BF3E44" w:rsidP="00BF3E44">
            <w:pPr>
              <w:ind w:right="113"/>
              <w:jc w:val="center"/>
              <w:rPr>
                <w:rFonts w:cstheme="minorHAnsi"/>
                <w:b/>
              </w:rPr>
            </w:pPr>
            <w:r w:rsidRPr="004C49D2">
              <w:rPr>
                <w:rFonts w:cstheme="minorHAnsi"/>
                <w:b/>
              </w:rPr>
              <w:t>Nein</w:t>
            </w:r>
          </w:p>
        </w:tc>
        <w:tc>
          <w:tcPr>
            <w:tcW w:w="2947" w:type="dxa"/>
            <w:gridSpan w:val="2"/>
            <w:shd w:val="clear" w:color="auto" w:fill="BFBFBF" w:themeFill="background1" w:themeFillShade="BF"/>
            <w:vAlign w:val="center"/>
          </w:tcPr>
          <w:p w14:paraId="41141A59" w14:textId="77777777" w:rsidR="00BF3E44" w:rsidRPr="004C49D2" w:rsidRDefault="00BF3E44" w:rsidP="00BF3E44">
            <w:pPr>
              <w:jc w:val="center"/>
              <w:rPr>
                <w:rFonts w:cstheme="minorHAnsi"/>
                <w:b/>
              </w:rPr>
            </w:pPr>
          </w:p>
        </w:tc>
      </w:tr>
      <w:tr w:rsidR="00BF3E44" w:rsidRPr="004C49D2" w14:paraId="1E12AFC1" w14:textId="77777777" w:rsidTr="00BF3E44">
        <w:trPr>
          <w:gridAfter w:val="1"/>
          <w:wAfter w:w="6" w:type="dxa"/>
        </w:trPr>
        <w:tc>
          <w:tcPr>
            <w:tcW w:w="9493" w:type="dxa"/>
            <w:shd w:val="clear" w:color="auto" w:fill="D9D9D9" w:themeFill="background1" w:themeFillShade="D9"/>
            <w:vAlign w:val="center"/>
          </w:tcPr>
          <w:p w14:paraId="6296772B" w14:textId="77777777" w:rsidR="00BF3E44" w:rsidRPr="004C49D2" w:rsidRDefault="00BF3E44" w:rsidP="00CB7282">
            <w:pPr>
              <w:rPr>
                <w:rFonts w:cstheme="minorHAnsi"/>
                <w:b/>
              </w:rPr>
            </w:pPr>
            <w:r>
              <w:rPr>
                <w:rFonts w:cstheme="minorHAnsi"/>
                <w:b/>
              </w:rPr>
              <w:t>Allgemein</w:t>
            </w:r>
          </w:p>
        </w:tc>
        <w:tc>
          <w:tcPr>
            <w:tcW w:w="425" w:type="dxa"/>
            <w:shd w:val="clear" w:color="auto" w:fill="D9D9D9" w:themeFill="background1" w:themeFillShade="D9"/>
            <w:vAlign w:val="center"/>
          </w:tcPr>
          <w:p w14:paraId="1224419F" w14:textId="4E4C5CF1" w:rsidR="00BF3E44" w:rsidRPr="004C49D2" w:rsidRDefault="00BF3E44" w:rsidP="00BF3E44">
            <w:pPr>
              <w:jc w:val="center"/>
              <w:rPr>
                <w:rFonts w:cstheme="minorHAnsi"/>
                <w:b/>
              </w:rPr>
            </w:pPr>
          </w:p>
        </w:tc>
        <w:tc>
          <w:tcPr>
            <w:tcW w:w="425" w:type="dxa"/>
            <w:shd w:val="clear" w:color="auto" w:fill="D9D9D9" w:themeFill="background1" w:themeFillShade="D9"/>
            <w:vAlign w:val="center"/>
          </w:tcPr>
          <w:p w14:paraId="13F62AC2" w14:textId="77777777" w:rsidR="00BF3E44" w:rsidRPr="004C49D2" w:rsidRDefault="00BF3E44" w:rsidP="00BF3E44">
            <w:pPr>
              <w:jc w:val="center"/>
              <w:rPr>
                <w:rFonts w:cstheme="minorHAnsi"/>
                <w:b/>
              </w:rPr>
            </w:pPr>
          </w:p>
        </w:tc>
        <w:tc>
          <w:tcPr>
            <w:tcW w:w="2947" w:type="dxa"/>
            <w:gridSpan w:val="2"/>
            <w:shd w:val="clear" w:color="auto" w:fill="D9D9D9" w:themeFill="background1" w:themeFillShade="D9"/>
            <w:vAlign w:val="center"/>
          </w:tcPr>
          <w:p w14:paraId="68AF09AA" w14:textId="77777777" w:rsidR="00BF3E44" w:rsidRPr="004C49D2" w:rsidRDefault="00BF3E44" w:rsidP="00BF3E44">
            <w:pPr>
              <w:jc w:val="center"/>
              <w:rPr>
                <w:rFonts w:cstheme="minorHAnsi"/>
              </w:rPr>
            </w:pPr>
          </w:p>
        </w:tc>
      </w:tr>
      <w:tr w:rsidR="00BF3E44" w:rsidRPr="004C49D2" w14:paraId="2959CD98" w14:textId="77777777" w:rsidTr="00BF3E44">
        <w:trPr>
          <w:gridAfter w:val="1"/>
          <w:wAfter w:w="6" w:type="dxa"/>
        </w:trPr>
        <w:tc>
          <w:tcPr>
            <w:tcW w:w="9493" w:type="dxa"/>
            <w:shd w:val="clear" w:color="auto" w:fill="auto"/>
            <w:vAlign w:val="center"/>
          </w:tcPr>
          <w:p w14:paraId="42B7C3BE" w14:textId="77777777" w:rsidR="00BF3E44" w:rsidRPr="006E6E76" w:rsidRDefault="00BF3E44" w:rsidP="004C49D2">
            <w:pPr>
              <w:pStyle w:val="Listenabsatz"/>
              <w:ind w:left="0"/>
              <w:rPr>
                <w:rFonts w:cstheme="minorHAnsi"/>
                <w:b/>
              </w:rPr>
            </w:pPr>
            <w:r w:rsidRPr="006E6E76">
              <w:rPr>
                <w:rFonts w:cstheme="minorHAnsi"/>
                <w:b/>
              </w:rPr>
              <w:t>Pflichten aus anderen Rechtsgebieten:</w:t>
            </w:r>
          </w:p>
          <w:p w14:paraId="4DED2F4B" w14:textId="702125E5" w:rsidR="00BF3E44" w:rsidRPr="004C49D2" w:rsidRDefault="00BF3E44" w:rsidP="004C49D2">
            <w:pPr>
              <w:pStyle w:val="Listenabsatz"/>
              <w:ind w:left="0"/>
              <w:rPr>
                <w:rFonts w:cstheme="minorHAnsi"/>
              </w:rPr>
            </w:pPr>
            <w:r w:rsidRPr="004C49D2">
              <w:rPr>
                <w:rFonts w:cstheme="minorHAnsi"/>
              </w:rPr>
              <w:t>Bitte denken Sie daran, dass eventuell weitere Gesetze/ Verordnungen betroffen sind und es Anzeige und/oder Erlaubnispflichten gibt. Beispiele:</w:t>
            </w:r>
          </w:p>
          <w:p w14:paraId="153F534E" w14:textId="77777777" w:rsidR="00BF3E44" w:rsidRPr="00363040" w:rsidRDefault="00BF3E44" w:rsidP="00363040">
            <w:pPr>
              <w:pStyle w:val="Listenabsatz"/>
              <w:numPr>
                <w:ilvl w:val="0"/>
                <w:numId w:val="43"/>
              </w:numPr>
              <w:rPr>
                <w:rFonts w:cstheme="minorHAnsi"/>
              </w:rPr>
            </w:pPr>
            <w:r w:rsidRPr="00363040">
              <w:rPr>
                <w:rFonts w:cstheme="minorHAnsi"/>
              </w:rPr>
              <w:t>Gentechnikgesetz: Anzeigen ab S1 bei gentechnischen Arbeiten</w:t>
            </w:r>
          </w:p>
          <w:p w14:paraId="60F98D3E" w14:textId="5358EB14" w:rsidR="00BF3E44" w:rsidRPr="00363040" w:rsidRDefault="00BF3E44" w:rsidP="00363040">
            <w:pPr>
              <w:pStyle w:val="Listenabsatz"/>
              <w:numPr>
                <w:ilvl w:val="0"/>
                <w:numId w:val="43"/>
              </w:numPr>
              <w:rPr>
                <w:rFonts w:cstheme="minorHAnsi"/>
              </w:rPr>
            </w:pPr>
            <w:r w:rsidRPr="00363040">
              <w:rPr>
                <w:rFonts w:cstheme="minorHAnsi"/>
              </w:rPr>
              <w:t>Infektionsschutz: Erlaubnis und Anzeige bei Umgang mit humanen Krankheitserregern</w:t>
            </w:r>
          </w:p>
          <w:p w14:paraId="60AC67A0" w14:textId="77777777" w:rsidR="00BF3E44" w:rsidRPr="00363040" w:rsidRDefault="00BF3E44" w:rsidP="00363040">
            <w:pPr>
              <w:pStyle w:val="Listenabsatz"/>
              <w:numPr>
                <w:ilvl w:val="0"/>
                <w:numId w:val="43"/>
              </w:numPr>
              <w:rPr>
                <w:rFonts w:cstheme="minorHAnsi"/>
              </w:rPr>
            </w:pPr>
            <w:r w:rsidRPr="00363040">
              <w:rPr>
                <w:rFonts w:cstheme="minorHAnsi"/>
              </w:rPr>
              <w:t>Tierseuchenerregerverordnung: Erlaubnis und Anzeige bei Arbeiten mit Erregern</w:t>
            </w:r>
          </w:p>
          <w:p w14:paraId="511058BD" w14:textId="77777777" w:rsidR="00BF3E44" w:rsidRPr="00363040" w:rsidRDefault="00BF3E44" w:rsidP="00363040">
            <w:pPr>
              <w:pStyle w:val="Listenabsatz"/>
              <w:numPr>
                <w:ilvl w:val="0"/>
                <w:numId w:val="43"/>
              </w:numPr>
              <w:rPr>
                <w:rFonts w:cstheme="minorHAnsi"/>
                <w:b/>
              </w:rPr>
            </w:pPr>
            <w:r w:rsidRPr="00363040">
              <w:rPr>
                <w:rFonts w:cstheme="minorHAnsi"/>
              </w:rPr>
              <w:t xml:space="preserve">Pflanzenbeschauverordnung: Einfuhrverbot von Schaderregern gemäß </w:t>
            </w:r>
            <w:proofErr w:type="gramStart"/>
            <w:r w:rsidRPr="00363040">
              <w:rPr>
                <w:rFonts w:cstheme="minorHAnsi"/>
              </w:rPr>
              <w:t>EU Richtlinie</w:t>
            </w:r>
            <w:proofErr w:type="gramEnd"/>
            <w:r w:rsidRPr="00363040">
              <w:rPr>
                <w:rFonts w:cstheme="minorHAnsi"/>
              </w:rPr>
              <w:t>. Erlaubnis und Genehmigungspflichten.</w:t>
            </w:r>
          </w:p>
          <w:p w14:paraId="7B292EE9" w14:textId="77777777" w:rsidR="00BF3E44" w:rsidRPr="00363040" w:rsidRDefault="00BF3E44" w:rsidP="00363040">
            <w:pPr>
              <w:pStyle w:val="Listenabsatz"/>
              <w:numPr>
                <w:ilvl w:val="0"/>
                <w:numId w:val="43"/>
              </w:numPr>
              <w:rPr>
                <w:rFonts w:cstheme="minorHAnsi"/>
                <w:b/>
              </w:rPr>
            </w:pPr>
            <w:r w:rsidRPr="00363040">
              <w:rPr>
                <w:rFonts w:cstheme="minorHAnsi"/>
              </w:rPr>
              <w:t>Dual Use Richtlinie: Verschluss der dort gelisteten Biostoffe</w:t>
            </w:r>
          </w:p>
        </w:tc>
        <w:sdt>
          <w:sdtPr>
            <w:rPr>
              <w:rFonts w:cstheme="minorHAnsi"/>
            </w:rPr>
            <w:id w:val="1447824067"/>
            <w14:checkbox>
              <w14:checked w14:val="0"/>
              <w14:checkedState w14:val="2612" w14:font="MS Gothic"/>
              <w14:uncheckedState w14:val="2610" w14:font="MS Gothic"/>
            </w14:checkbox>
          </w:sdtPr>
          <w:sdtContent>
            <w:tc>
              <w:tcPr>
                <w:tcW w:w="425" w:type="dxa"/>
                <w:vAlign w:val="center"/>
              </w:tcPr>
              <w:p w14:paraId="75F9A231"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447277192"/>
            <w14:checkbox>
              <w14:checked w14:val="0"/>
              <w14:checkedState w14:val="2612" w14:font="MS Gothic"/>
              <w14:uncheckedState w14:val="2610" w14:font="MS Gothic"/>
            </w14:checkbox>
          </w:sdtPr>
          <w:sdtContent>
            <w:tc>
              <w:tcPr>
                <w:tcW w:w="425" w:type="dxa"/>
                <w:vAlign w:val="center"/>
              </w:tcPr>
              <w:p w14:paraId="04D03441" w14:textId="2762610C" w:rsidR="00BF3E44" w:rsidRPr="004C49D2" w:rsidRDefault="00BF3E44" w:rsidP="00BF3E44">
                <w:pPr>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1238D541" w14:textId="77777777" w:rsidR="00BF3E44" w:rsidRPr="004C49D2" w:rsidRDefault="00BF3E44" w:rsidP="00BF3E44">
            <w:pPr>
              <w:jc w:val="center"/>
              <w:rPr>
                <w:rFonts w:cstheme="minorHAnsi"/>
              </w:rPr>
            </w:pPr>
          </w:p>
        </w:tc>
      </w:tr>
      <w:tr w:rsidR="00BF3E44" w:rsidRPr="004C49D2" w14:paraId="0E66C0F8" w14:textId="77777777" w:rsidTr="00BF3E44">
        <w:trPr>
          <w:gridAfter w:val="1"/>
          <w:wAfter w:w="6" w:type="dxa"/>
        </w:trPr>
        <w:tc>
          <w:tcPr>
            <w:tcW w:w="9493" w:type="dxa"/>
            <w:shd w:val="clear" w:color="auto" w:fill="auto"/>
            <w:vAlign w:val="center"/>
          </w:tcPr>
          <w:p w14:paraId="697607AE" w14:textId="7EA4EEF1" w:rsidR="00BF3E44" w:rsidRPr="00501A59" w:rsidRDefault="00BF3E44" w:rsidP="00363040">
            <w:pPr>
              <w:rPr>
                <w:rFonts w:cstheme="minorHAnsi"/>
                <w:b/>
              </w:rPr>
            </w:pPr>
            <w:r w:rsidRPr="00501A59">
              <w:rPr>
                <w:rFonts w:cstheme="minorHAnsi"/>
                <w:b/>
              </w:rPr>
              <w:t>Gefährdungsbeurteilung</w:t>
            </w:r>
            <w:r>
              <w:rPr>
                <w:rFonts w:cstheme="minorHAnsi"/>
                <w:b/>
              </w:rPr>
              <w:t>:</w:t>
            </w:r>
          </w:p>
          <w:p w14:paraId="3E859EB5" w14:textId="1FB54CCD" w:rsidR="00BF3E44" w:rsidRPr="00363040" w:rsidRDefault="00BF3E44" w:rsidP="00363040">
            <w:pPr>
              <w:rPr>
                <w:rFonts w:cstheme="minorHAnsi"/>
              </w:rPr>
            </w:pPr>
            <w:r w:rsidRPr="00363040">
              <w:rPr>
                <w:rFonts w:cstheme="minorHAnsi"/>
              </w:rPr>
              <w:t xml:space="preserve">Es muss vorweg eine </w:t>
            </w:r>
            <w:r w:rsidRPr="00501A59">
              <w:rPr>
                <w:rFonts w:cstheme="minorHAnsi"/>
              </w:rPr>
              <w:t xml:space="preserve">Gefährdungsbeurteilung gem. §4 </w:t>
            </w:r>
            <w:proofErr w:type="spellStart"/>
            <w:r w:rsidRPr="00501A59">
              <w:rPr>
                <w:rFonts w:cstheme="minorHAnsi"/>
              </w:rPr>
              <w:t>BiostoffV</w:t>
            </w:r>
            <w:proofErr w:type="spellEnd"/>
            <w:r>
              <w:rPr>
                <w:rFonts w:cstheme="minorHAnsi"/>
              </w:rPr>
              <w:t xml:space="preserve"> durchgeführt und doku</w:t>
            </w:r>
            <w:r w:rsidRPr="00363040">
              <w:rPr>
                <w:rFonts w:cstheme="minorHAnsi"/>
              </w:rPr>
              <w:t>mentiert werden! Hierbei beraten und unterstützen die Fachkräfte für Arbeitssicherheit, die Betriebsärzte sowie die Koordinatorin für Biol. Sicherheit (Vorlage siehe SharePoint GöGebS).</w:t>
            </w:r>
          </w:p>
          <w:p w14:paraId="05C2490A" w14:textId="27266823" w:rsidR="00BF3E44" w:rsidRPr="00363040" w:rsidRDefault="00BF3E44" w:rsidP="00363040">
            <w:pPr>
              <w:rPr>
                <w:rFonts w:cstheme="minorHAnsi"/>
              </w:rPr>
            </w:pPr>
            <w:r w:rsidRPr="00363040">
              <w:rPr>
                <w:rFonts w:cstheme="minorHAnsi"/>
              </w:rPr>
              <w:lastRenderedPageBreak/>
              <w:t>In dem Zuge muss auch eine Prüfung erfolgen, ob Biostoffe, Arbeitsverfahren oder –mittel gegen weniger gefährdende ersetzt werden können (Substitutionsprüfung).</w:t>
            </w:r>
          </w:p>
        </w:tc>
        <w:sdt>
          <w:sdtPr>
            <w:rPr>
              <w:rFonts w:cstheme="minorHAnsi"/>
            </w:rPr>
            <w:id w:val="-1057630281"/>
            <w14:checkbox>
              <w14:checked w14:val="0"/>
              <w14:checkedState w14:val="2612" w14:font="MS Gothic"/>
              <w14:uncheckedState w14:val="2610" w14:font="MS Gothic"/>
            </w14:checkbox>
          </w:sdtPr>
          <w:sdtContent>
            <w:tc>
              <w:tcPr>
                <w:tcW w:w="425" w:type="dxa"/>
                <w:shd w:val="clear" w:color="auto" w:fill="auto"/>
                <w:vAlign w:val="center"/>
              </w:tcPr>
              <w:p w14:paraId="0978A801" w14:textId="3BAA1504" w:rsidR="00BF3E44" w:rsidRPr="00363040"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577816918"/>
            <w14:checkbox>
              <w14:checked w14:val="0"/>
              <w14:checkedState w14:val="2612" w14:font="MS Gothic"/>
              <w14:uncheckedState w14:val="2610" w14:font="MS Gothic"/>
            </w14:checkbox>
          </w:sdtPr>
          <w:sdtContent>
            <w:tc>
              <w:tcPr>
                <w:tcW w:w="425" w:type="dxa"/>
                <w:shd w:val="clear" w:color="auto" w:fill="auto"/>
                <w:vAlign w:val="center"/>
              </w:tcPr>
              <w:p w14:paraId="74D1D7A5" w14:textId="52AE7B4A" w:rsidR="00BF3E44" w:rsidRPr="00363040" w:rsidRDefault="00BF3E44" w:rsidP="00BF3E44">
                <w:pPr>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1F5B58B4" w14:textId="77777777" w:rsidR="00BF3E44" w:rsidRPr="00363040" w:rsidRDefault="00BF3E44" w:rsidP="00BF3E44">
            <w:pPr>
              <w:jc w:val="center"/>
              <w:rPr>
                <w:rFonts w:cstheme="minorHAnsi"/>
              </w:rPr>
            </w:pPr>
          </w:p>
        </w:tc>
      </w:tr>
      <w:tr w:rsidR="00BF3E44" w:rsidRPr="004C49D2" w14:paraId="74FF1AB1" w14:textId="77777777" w:rsidTr="00BF3E44">
        <w:trPr>
          <w:gridAfter w:val="1"/>
          <w:wAfter w:w="6" w:type="dxa"/>
        </w:trPr>
        <w:tc>
          <w:tcPr>
            <w:tcW w:w="9493" w:type="dxa"/>
            <w:shd w:val="clear" w:color="auto" w:fill="auto"/>
            <w:vAlign w:val="center"/>
          </w:tcPr>
          <w:p w14:paraId="4B059F2E" w14:textId="77777777" w:rsidR="00BF3E44" w:rsidRPr="00501A59" w:rsidRDefault="00BF3E44" w:rsidP="00501A59">
            <w:pPr>
              <w:keepNext/>
              <w:keepLines/>
              <w:rPr>
                <w:rFonts w:cstheme="minorHAnsi"/>
                <w:b/>
              </w:rPr>
            </w:pPr>
            <w:r w:rsidRPr="00501A59">
              <w:rPr>
                <w:rFonts w:cstheme="minorHAnsi"/>
                <w:b/>
              </w:rPr>
              <w:t>Verzeichnis der Beschäftigten:</w:t>
            </w:r>
          </w:p>
          <w:p w14:paraId="3DAF5F0D" w14:textId="7A9541AE" w:rsidR="00BF3E44" w:rsidRPr="0053261D" w:rsidRDefault="00BF3E44" w:rsidP="00501A59">
            <w:pPr>
              <w:keepNext/>
              <w:keepLines/>
              <w:rPr>
                <w:rFonts w:cstheme="minorHAnsi"/>
              </w:rPr>
            </w:pPr>
            <w:r w:rsidRPr="0053261D">
              <w:rPr>
                <w:rFonts w:cstheme="minorHAnsi"/>
              </w:rPr>
              <w:t xml:space="preserve">Bei Tätigkeiten der Schutzstufe 3 oder 4 hat der Arbeitgeber zusätzlich ein </w:t>
            </w:r>
            <w:r w:rsidRPr="00501A59">
              <w:rPr>
                <w:rFonts w:cstheme="minorHAnsi"/>
              </w:rPr>
              <w:t>Verzeichnis über die Beschäftigten zu führen, die diese Tätigkeiten ausüben. In dem Verzeichn</w:t>
            </w:r>
            <w:r w:rsidRPr="0053261D">
              <w:rPr>
                <w:rFonts w:cstheme="minorHAnsi"/>
              </w:rPr>
              <w:t>is sind die Art der Tätigkeiten und die vorkommenden</w:t>
            </w:r>
            <w:r>
              <w:rPr>
                <w:rFonts w:cstheme="minorHAnsi"/>
              </w:rPr>
              <w:t xml:space="preserve"> </w:t>
            </w:r>
            <w:r w:rsidRPr="0053261D">
              <w:rPr>
                <w:rFonts w:cstheme="minorHAnsi"/>
              </w:rPr>
              <w:t>Biostoffe sowie aufgetretene Unfälle und Betriebsstörungen anzugeben. Es ist personenbezogen für den</w:t>
            </w:r>
            <w:r>
              <w:rPr>
                <w:rFonts w:cstheme="minorHAnsi"/>
              </w:rPr>
              <w:t xml:space="preserve"> </w:t>
            </w:r>
            <w:r w:rsidRPr="0053261D">
              <w:rPr>
                <w:rFonts w:cstheme="minorHAnsi"/>
              </w:rPr>
              <w:t>Zeitraum von mindestens zehn Jahren nach Beendigung der Tätigkeit aufzubewahren. Der Arbeitgeber hat</w:t>
            </w:r>
          </w:p>
          <w:p w14:paraId="6BC72BA9" w14:textId="489AF957" w:rsidR="00BF3E44" w:rsidRPr="0053261D" w:rsidRDefault="00BF3E44" w:rsidP="00501A59">
            <w:pPr>
              <w:keepNext/>
              <w:keepLines/>
              <w:rPr>
                <w:rFonts w:cstheme="minorHAnsi"/>
              </w:rPr>
            </w:pPr>
            <w:r w:rsidRPr="0053261D">
              <w:rPr>
                <w:rFonts w:cstheme="minorHAnsi"/>
              </w:rPr>
              <w:t>1. den Beschäftigten die sie betreffenden Angaben in dem Verzeichnis zugänglich zu machen; der Schutz der</w:t>
            </w:r>
            <w:r>
              <w:rPr>
                <w:rFonts w:cstheme="minorHAnsi"/>
              </w:rPr>
              <w:t xml:space="preserve"> </w:t>
            </w:r>
            <w:r w:rsidRPr="0053261D">
              <w:rPr>
                <w:rFonts w:cstheme="minorHAnsi"/>
              </w:rPr>
              <w:t>personenbezogenen Daten ist zu gewährleisten,</w:t>
            </w:r>
          </w:p>
          <w:p w14:paraId="278CDA45" w14:textId="0347E14B" w:rsidR="00BF3E44" w:rsidRPr="0053261D" w:rsidRDefault="00BF3E44" w:rsidP="00501A59">
            <w:pPr>
              <w:keepNext/>
              <w:keepLines/>
              <w:rPr>
                <w:rFonts w:cstheme="minorHAnsi"/>
              </w:rPr>
            </w:pPr>
            <w:r w:rsidRPr="0053261D">
              <w:rPr>
                <w:rFonts w:cstheme="minorHAnsi"/>
              </w:rPr>
              <w:t>2. bei Beendigung des Beschäftigungsverhältnisses dem Beschäftigten einen Auszug über die ihn betreffenden</w:t>
            </w:r>
            <w:r>
              <w:rPr>
                <w:rFonts w:cstheme="minorHAnsi"/>
              </w:rPr>
              <w:t xml:space="preserve"> </w:t>
            </w:r>
            <w:r w:rsidRPr="0053261D">
              <w:rPr>
                <w:rFonts w:cstheme="minorHAnsi"/>
              </w:rPr>
              <w:t>Angaben des Verzeichnisses auszuhändigen; der Nachweis über die Aushändigung ist vom Arbeitgeber wie</w:t>
            </w:r>
            <w:r>
              <w:rPr>
                <w:rFonts w:cstheme="minorHAnsi"/>
              </w:rPr>
              <w:t xml:space="preserve"> </w:t>
            </w:r>
            <w:r w:rsidRPr="0053261D">
              <w:rPr>
                <w:rFonts w:cstheme="minorHAnsi"/>
              </w:rPr>
              <w:t>Personalunterlagen aufzubewahren.</w:t>
            </w:r>
          </w:p>
          <w:p w14:paraId="3C29B664" w14:textId="6F96EBE6" w:rsidR="00BF3E44" w:rsidRPr="00363040" w:rsidRDefault="00BF3E44" w:rsidP="00501A59">
            <w:pPr>
              <w:keepNext/>
              <w:keepLines/>
              <w:rPr>
                <w:rFonts w:cstheme="minorHAnsi"/>
              </w:rPr>
            </w:pPr>
            <w:r w:rsidRPr="0053261D">
              <w:rPr>
                <w:rFonts w:cstheme="minorHAnsi"/>
              </w:rPr>
              <w:t>Das Verzeichnis über die Beschäftigten kann zusammen mit dem Biostoffverzeichnis nach Absatz 2 geführt</w:t>
            </w:r>
            <w:r>
              <w:rPr>
                <w:rFonts w:cstheme="minorHAnsi"/>
              </w:rPr>
              <w:t xml:space="preserve"> </w:t>
            </w:r>
            <w:r w:rsidRPr="0053261D">
              <w:rPr>
                <w:rFonts w:cstheme="minorHAnsi"/>
              </w:rPr>
              <w:t>werden.</w:t>
            </w:r>
          </w:p>
        </w:tc>
        <w:sdt>
          <w:sdtPr>
            <w:rPr>
              <w:rFonts w:cstheme="minorHAnsi"/>
            </w:rPr>
            <w:id w:val="-1629078279"/>
            <w14:checkbox>
              <w14:checked w14:val="0"/>
              <w14:checkedState w14:val="2612" w14:font="MS Gothic"/>
              <w14:uncheckedState w14:val="2610" w14:font="MS Gothic"/>
            </w14:checkbox>
          </w:sdtPr>
          <w:sdtContent>
            <w:tc>
              <w:tcPr>
                <w:tcW w:w="425" w:type="dxa"/>
                <w:shd w:val="clear" w:color="auto" w:fill="auto"/>
                <w:vAlign w:val="center"/>
              </w:tcPr>
              <w:p w14:paraId="2746E5EF" w14:textId="541AAF65" w:rsidR="00BF3E44"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300453699"/>
            <w14:checkbox>
              <w14:checked w14:val="0"/>
              <w14:checkedState w14:val="2612" w14:font="MS Gothic"/>
              <w14:uncheckedState w14:val="2610" w14:font="MS Gothic"/>
            </w14:checkbox>
          </w:sdtPr>
          <w:sdtContent>
            <w:tc>
              <w:tcPr>
                <w:tcW w:w="425" w:type="dxa"/>
                <w:shd w:val="clear" w:color="auto" w:fill="auto"/>
                <w:vAlign w:val="center"/>
              </w:tcPr>
              <w:p w14:paraId="65EFBFDD" w14:textId="4690306F" w:rsidR="00BF3E44" w:rsidRDefault="00BF3E44" w:rsidP="00BF3E44">
                <w:pPr>
                  <w:keepNext/>
                  <w:keepLines/>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5A1F11EA" w14:textId="77777777" w:rsidR="00BF3E44" w:rsidRPr="00363040" w:rsidRDefault="00BF3E44" w:rsidP="00BF3E44">
            <w:pPr>
              <w:keepNext/>
              <w:keepLines/>
              <w:jc w:val="center"/>
              <w:rPr>
                <w:rFonts w:cstheme="minorHAnsi"/>
              </w:rPr>
            </w:pPr>
          </w:p>
        </w:tc>
      </w:tr>
      <w:tr w:rsidR="00BF3E44" w:rsidRPr="004C49D2" w14:paraId="4DFA48AA" w14:textId="77777777" w:rsidTr="00BF3E44">
        <w:trPr>
          <w:gridAfter w:val="1"/>
          <w:wAfter w:w="6" w:type="dxa"/>
        </w:trPr>
        <w:tc>
          <w:tcPr>
            <w:tcW w:w="9493" w:type="dxa"/>
            <w:shd w:val="clear" w:color="auto" w:fill="auto"/>
            <w:vAlign w:val="center"/>
          </w:tcPr>
          <w:p w14:paraId="2D22A1D3" w14:textId="77777777" w:rsidR="00BF3E44" w:rsidRPr="00501A59" w:rsidRDefault="00BF3E44" w:rsidP="00CB7282">
            <w:pPr>
              <w:rPr>
                <w:rFonts w:cstheme="minorHAnsi"/>
                <w:b/>
              </w:rPr>
            </w:pPr>
            <w:r w:rsidRPr="00501A59">
              <w:rPr>
                <w:rFonts w:cstheme="minorHAnsi"/>
                <w:b/>
              </w:rPr>
              <w:t>Benannte Fachkundige Person:</w:t>
            </w:r>
          </w:p>
          <w:p w14:paraId="205DB683" w14:textId="7A64DE06" w:rsidR="00BF3E44" w:rsidRPr="0053261D" w:rsidRDefault="00BF3E44" w:rsidP="00501A59">
            <w:pPr>
              <w:rPr>
                <w:rFonts w:cstheme="minorHAnsi"/>
              </w:rPr>
            </w:pPr>
            <w:r>
              <w:rPr>
                <w:rFonts w:cstheme="minorHAnsi"/>
              </w:rPr>
              <w:t xml:space="preserve">Vor Aufnahme der Tätigkeiten hat der Arbeitgeber bzw. die Verantwortliche Person eine der höheren Gefährdung entsprechend </w:t>
            </w:r>
            <w:r w:rsidRPr="00501A59">
              <w:rPr>
                <w:rFonts w:cstheme="minorHAnsi"/>
              </w:rPr>
              <w:t>Fachkundige Person</w:t>
            </w:r>
            <w:r>
              <w:rPr>
                <w:rFonts w:cstheme="minorHAnsi"/>
              </w:rPr>
              <w:t xml:space="preserve"> schriftlich zu benennen. Aufgaben und Anforderungen siehe §10 (2) </w:t>
            </w:r>
            <w:proofErr w:type="spellStart"/>
            <w:r>
              <w:rPr>
                <w:rFonts w:cstheme="minorHAnsi"/>
              </w:rPr>
              <w:t>BiostoffV</w:t>
            </w:r>
            <w:proofErr w:type="spellEnd"/>
            <w:r>
              <w:rPr>
                <w:rFonts w:cstheme="minorHAnsi"/>
              </w:rPr>
              <w:t xml:space="preserve"> und TRBA 200 Kapitel 6. Beratung durch Stabsstelle SU, Biologische Sicherheit.</w:t>
            </w:r>
          </w:p>
        </w:tc>
        <w:sdt>
          <w:sdtPr>
            <w:rPr>
              <w:rFonts w:cstheme="minorHAnsi"/>
            </w:rPr>
            <w:id w:val="1321234167"/>
            <w14:checkbox>
              <w14:checked w14:val="0"/>
              <w14:checkedState w14:val="2612" w14:font="MS Gothic"/>
              <w14:uncheckedState w14:val="2610" w14:font="MS Gothic"/>
            </w14:checkbox>
          </w:sdtPr>
          <w:sdtContent>
            <w:tc>
              <w:tcPr>
                <w:tcW w:w="425" w:type="dxa"/>
                <w:shd w:val="clear" w:color="auto" w:fill="auto"/>
                <w:vAlign w:val="center"/>
              </w:tcPr>
              <w:p w14:paraId="462F8C77" w14:textId="3452A524" w:rsidR="00BF3E44"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660198270"/>
            <w14:checkbox>
              <w14:checked w14:val="0"/>
              <w14:checkedState w14:val="2612" w14:font="MS Gothic"/>
              <w14:uncheckedState w14:val="2610" w14:font="MS Gothic"/>
            </w14:checkbox>
          </w:sdtPr>
          <w:sdtContent>
            <w:tc>
              <w:tcPr>
                <w:tcW w:w="425" w:type="dxa"/>
                <w:shd w:val="clear" w:color="auto" w:fill="auto"/>
                <w:vAlign w:val="center"/>
              </w:tcPr>
              <w:p w14:paraId="292C9902" w14:textId="22BDFD1A" w:rsidR="00BF3E44" w:rsidRDefault="00BF3E44" w:rsidP="00BF3E44">
                <w:pPr>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4810F7AB" w14:textId="77777777" w:rsidR="00BF3E44" w:rsidRPr="00363040" w:rsidRDefault="00BF3E44" w:rsidP="00BF3E44">
            <w:pPr>
              <w:jc w:val="center"/>
              <w:rPr>
                <w:rFonts w:cstheme="minorHAnsi"/>
              </w:rPr>
            </w:pPr>
          </w:p>
        </w:tc>
      </w:tr>
      <w:tr w:rsidR="00BF3E44" w:rsidRPr="004C49D2" w14:paraId="42F3ED51" w14:textId="77777777" w:rsidTr="00BF3E44">
        <w:trPr>
          <w:gridAfter w:val="1"/>
          <w:wAfter w:w="6" w:type="dxa"/>
        </w:trPr>
        <w:tc>
          <w:tcPr>
            <w:tcW w:w="9493" w:type="dxa"/>
            <w:shd w:val="clear" w:color="auto" w:fill="D9D9D9" w:themeFill="background1" w:themeFillShade="D9"/>
            <w:vAlign w:val="center"/>
          </w:tcPr>
          <w:p w14:paraId="753115C9" w14:textId="2CC19671" w:rsidR="00BF3E44" w:rsidRPr="004C49D2" w:rsidRDefault="00BF3E44" w:rsidP="0053261D">
            <w:pPr>
              <w:keepNext/>
              <w:keepLines/>
              <w:jc w:val="both"/>
              <w:rPr>
                <w:rFonts w:cstheme="minorHAnsi"/>
                <w:b/>
              </w:rPr>
            </w:pPr>
            <w:r w:rsidRPr="004C49D2">
              <w:rPr>
                <w:rFonts w:cstheme="minorHAnsi"/>
                <w:b/>
              </w:rPr>
              <w:lastRenderedPageBreak/>
              <w:t>Bauliche und technische Schutzmaßnahmen</w:t>
            </w:r>
            <w:r>
              <w:rPr>
                <w:rFonts w:cstheme="minorHAnsi"/>
                <w:b/>
              </w:rPr>
              <w:t xml:space="preserve"> (Formulierung gem. TRBA 100, 5.4.2)</w:t>
            </w:r>
          </w:p>
        </w:tc>
        <w:tc>
          <w:tcPr>
            <w:tcW w:w="425" w:type="dxa"/>
            <w:shd w:val="clear" w:color="auto" w:fill="D9D9D9" w:themeFill="background1" w:themeFillShade="D9"/>
            <w:vAlign w:val="center"/>
          </w:tcPr>
          <w:p w14:paraId="771DAA7D" w14:textId="77777777" w:rsidR="00BF3E44" w:rsidRPr="004C49D2" w:rsidRDefault="00BF3E44" w:rsidP="00BF3E44">
            <w:pPr>
              <w:keepNext/>
              <w:keepLines/>
              <w:jc w:val="center"/>
              <w:rPr>
                <w:rFonts w:cstheme="minorHAnsi"/>
                <w:b/>
              </w:rPr>
            </w:pPr>
          </w:p>
        </w:tc>
        <w:tc>
          <w:tcPr>
            <w:tcW w:w="425" w:type="dxa"/>
            <w:shd w:val="clear" w:color="auto" w:fill="D9D9D9" w:themeFill="background1" w:themeFillShade="D9"/>
            <w:vAlign w:val="center"/>
          </w:tcPr>
          <w:p w14:paraId="482281F5" w14:textId="77777777" w:rsidR="00BF3E44" w:rsidRPr="004C49D2" w:rsidRDefault="00BF3E44" w:rsidP="00BF3E44">
            <w:pPr>
              <w:keepNext/>
              <w:keepLines/>
              <w:jc w:val="center"/>
              <w:rPr>
                <w:rFonts w:cstheme="minorHAnsi"/>
                <w:b/>
              </w:rPr>
            </w:pPr>
          </w:p>
        </w:tc>
        <w:tc>
          <w:tcPr>
            <w:tcW w:w="2947" w:type="dxa"/>
            <w:gridSpan w:val="2"/>
            <w:shd w:val="clear" w:color="auto" w:fill="D9D9D9" w:themeFill="background1" w:themeFillShade="D9"/>
            <w:vAlign w:val="center"/>
          </w:tcPr>
          <w:p w14:paraId="34BFF3AC" w14:textId="77777777" w:rsidR="00BF3E44" w:rsidRPr="004C49D2" w:rsidRDefault="00BF3E44" w:rsidP="00BF3E44">
            <w:pPr>
              <w:keepNext/>
              <w:keepLines/>
              <w:jc w:val="center"/>
              <w:rPr>
                <w:rFonts w:cstheme="minorHAnsi"/>
                <w:b/>
              </w:rPr>
            </w:pPr>
          </w:p>
        </w:tc>
      </w:tr>
      <w:tr w:rsidR="00BF3E44" w:rsidRPr="004C49D2" w14:paraId="6A801773" w14:textId="77777777" w:rsidTr="00BF3E44">
        <w:trPr>
          <w:gridAfter w:val="1"/>
          <w:wAfter w:w="6" w:type="dxa"/>
        </w:trPr>
        <w:tc>
          <w:tcPr>
            <w:tcW w:w="9493" w:type="dxa"/>
            <w:shd w:val="clear" w:color="auto" w:fill="auto"/>
            <w:vAlign w:val="center"/>
          </w:tcPr>
          <w:p w14:paraId="22E4227B" w14:textId="77777777" w:rsidR="00BF3E44" w:rsidRPr="007158F7" w:rsidRDefault="00BF3E44" w:rsidP="0053261D">
            <w:pPr>
              <w:pStyle w:val="Default"/>
              <w:keepNext/>
              <w:keepLines/>
              <w:rPr>
                <w:rFonts w:asciiTheme="minorHAnsi" w:hAnsiTheme="minorHAnsi" w:cstheme="minorHAnsi"/>
                <w:b/>
                <w:sz w:val="22"/>
                <w:szCs w:val="22"/>
              </w:rPr>
            </w:pPr>
            <w:r w:rsidRPr="007158F7">
              <w:rPr>
                <w:rFonts w:asciiTheme="minorHAnsi" w:hAnsiTheme="minorHAnsi" w:cstheme="minorHAnsi"/>
                <w:b/>
                <w:sz w:val="22"/>
                <w:szCs w:val="22"/>
              </w:rPr>
              <w:t>(1) Abgrenzung Labore, Schleuse:</w:t>
            </w:r>
          </w:p>
          <w:p w14:paraId="250B8B4C" w14:textId="77777777" w:rsidR="00BF3E44" w:rsidRPr="004C49D2" w:rsidRDefault="00BF3E44" w:rsidP="0053261D">
            <w:pPr>
              <w:pStyle w:val="Default"/>
              <w:keepNext/>
              <w:keepLines/>
              <w:rPr>
                <w:rFonts w:asciiTheme="minorHAnsi" w:hAnsiTheme="minorHAnsi" w:cstheme="minorHAnsi"/>
                <w:sz w:val="22"/>
                <w:szCs w:val="22"/>
              </w:rPr>
            </w:pPr>
            <w:r w:rsidRPr="004C49D2">
              <w:rPr>
                <w:rFonts w:asciiTheme="minorHAnsi" w:hAnsiTheme="minorHAnsi" w:cstheme="minorHAnsi"/>
                <w:sz w:val="22"/>
                <w:szCs w:val="22"/>
              </w:rPr>
              <w:t xml:space="preserve">Laboratorien, in denen Tätigkeiten der Schutzstufe 3 stattfinden, sind gegenüber anderen Bereichen durch eine Schleuse mit zwei </w:t>
            </w:r>
            <w:proofErr w:type="gramStart"/>
            <w:r>
              <w:rPr>
                <w:rFonts w:asciiTheme="minorHAnsi" w:hAnsiTheme="minorHAnsi" w:cstheme="minorHAnsi"/>
                <w:sz w:val="22"/>
                <w:szCs w:val="22"/>
              </w:rPr>
              <w:t>selbst schließenden</w:t>
            </w:r>
            <w:proofErr w:type="gramEnd"/>
            <w:r>
              <w:rPr>
                <w:rFonts w:asciiTheme="minorHAnsi" w:hAnsiTheme="minorHAnsi" w:cstheme="minorHAnsi"/>
                <w:sz w:val="22"/>
                <w:szCs w:val="22"/>
              </w:rPr>
              <w:t xml:space="preserve"> und gegenei</w:t>
            </w:r>
            <w:r w:rsidRPr="004C49D2">
              <w:rPr>
                <w:rFonts w:asciiTheme="minorHAnsi" w:hAnsiTheme="minorHAnsi" w:cstheme="minorHAnsi"/>
                <w:sz w:val="22"/>
                <w:szCs w:val="22"/>
              </w:rPr>
              <w:t>nander verriegelten Türen mit Sichtfenster zu trenn</w:t>
            </w:r>
            <w:r>
              <w:rPr>
                <w:rFonts w:asciiTheme="minorHAnsi" w:hAnsiTheme="minorHAnsi" w:cstheme="minorHAnsi"/>
                <w:sz w:val="22"/>
                <w:szCs w:val="22"/>
              </w:rPr>
              <w:t>en. Die Schleuse sollte entspre</w:t>
            </w:r>
            <w:r w:rsidRPr="004C49D2">
              <w:rPr>
                <w:rFonts w:asciiTheme="minorHAnsi" w:hAnsiTheme="minorHAnsi" w:cstheme="minorHAnsi"/>
                <w:sz w:val="22"/>
                <w:szCs w:val="22"/>
              </w:rPr>
              <w:t xml:space="preserve">chend der Nutzung des Schutzstufenbereichs ausreichend dimensioniert sein. </w:t>
            </w:r>
          </w:p>
          <w:p w14:paraId="46EBA871" w14:textId="77777777" w:rsidR="00BF3E44" w:rsidRPr="004C49D2" w:rsidRDefault="00BF3E44" w:rsidP="0053261D">
            <w:pPr>
              <w:pStyle w:val="Listenabsatz"/>
              <w:keepNext/>
              <w:keepLines/>
              <w:ind w:left="0"/>
              <w:rPr>
                <w:rFonts w:cstheme="minorHAnsi"/>
              </w:rPr>
            </w:pPr>
            <w:r w:rsidRPr="004C49D2">
              <w:rPr>
                <w:rFonts w:cstheme="minorHAnsi"/>
                <w:b/>
                <w:bCs/>
                <w:i/>
                <w:iCs/>
              </w:rPr>
              <w:t xml:space="preserve">Hinweis: </w:t>
            </w:r>
            <w:r w:rsidRPr="004C49D2">
              <w:rPr>
                <w:rFonts w:cstheme="minorHAnsi"/>
                <w:i/>
                <w:iCs/>
              </w:rPr>
              <w:t>Die in Fluchtrichtung aufschlagenden Türen sollten mit einer Panikfunktion ausgerüstet sein, um im Gefahrenfall den Beschäftigten ein Verlassen des Arbeitsbereiches zu ermöglichen.</w:t>
            </w:r>
          </w:p>
        </w:tc>
        <w:sdt>
          <w:sdtPr>
            <w:rPr>
              <w:rFonts w:cstheme="minorHAnsi"/>
            </w:rPr>
            <w:id w:val="910735148"/>
            <w14:checkbox>
              <w14:checked w14:val="0"/>
              <w14:checkedState w14:val="2612" w14:font="MS Gothic"/>
              <w14:uncheckedState w14:val="2610" w14:font="MS Gothic"/>
            </w14:checkbox>
          </w:sdtPr>
          <w:sdtContent>
            <w:tc>
              <w:tcPr>
                <w:tcW w:w="425" w:type="dxa"/>
                <w:vAlign w:val="center"/>
              </w:tcPr>
              <w:p w14:paraId="59A9DBFA"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728099220"/>
            <w14:checkbox>
              <w14:checked w14:val="0"/>
              <w14:checkedState w14:val="2612" w14:font="MS Gothic"/>
              <w14:uncheckedState w14:val="2610" w14:font="MS Gothic"/>
            </w14:checkbox>
          </w:sdtPr>
          <w:sdtContent>
            <w:tc>
              <w:tcPr>
                <w:tcW w:w="425" w:type="dxa"/>
                <w:vAlign w:val="center"/>
              </w:tcPr>
              <w:p w14:paraId="6468F95C"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05BACE11" w14:textId="77777777" w:rsidR="00BF3E44" w:rsidRPr="004C49D2" w:rsidRDefault="00BF3E44" w:rsidP="00BF3E44">
            <w:pPr>
              <w:keepNext/>
              <w:keepLines/>
              <w:jc w:val="center"/>
              <w:rPr>
                <w:rFonts w:cstheme="minorHAnsi"/>
              </w:rPr>
            </w:pPr>
          </w:p>
        </w:tc>
      </w:tr>
      <w:tr w:rsidR="00BF3E44" w:rsidRPr="004C49D2" w14:paraId="6ABFD797" w14:textId="77777777" w:rsidTr="00BF3E44">
        <w:trPr>
          <w:gridAfter w:val="1"/>
          <w:wAfter w:w="6" w:type="dxa"/>
        </w:trPr>
        <w:tc>
          <w:tcPr>
            <w:tcW w:w="9493" w:type="dxa"/>
            <w:shd w:val="clear" w:color="auto" w:fill="auto"/>
            <w:vAlign w:val="center"/>
          </w:tcPr>
          <w:p w14:paraId="4F10763C" w14:textId="77777777" w:rsidR="00BF3E44" w:rsidRDefault="00BF3E44" w:rsidP="00CB7282">
            <w:pPr>
              <w:pStyle w:val="Default"/>
              <w:keepNext/>
              <w:keepLines/>
              <w:rPr>
                <w:rFonts w:asciiTheme="minorHAnsi" w:hAnsiTheme="minorHAnsi" w:cstheme="minorHAnsi"/>
                <w:sz w:val="22"/>
                <w:szCs w:val="22"/>
              </w:rPr>
            </w:pPr>
            <w:r w:rsidRPr="007158F7">
              <w:rPr>
                <w:rFonts w:asciiTheme="minorHAnsi" w:hAnsiTheme="minorHAnsi" w:cstheme="minorHAnsi"/>
                <w:b/>
                <w:sz w:val="22"/>
                <w:szCs w:val="22"/>
              </w:rPr>
              <w:t>(2) Händedesinfektion Schleuse:</w:t>
            </w:r>
          </w:p>
          <w:p w14:paraId="4594C55F" w14:textId="77777777" w:rsidR="00BF3E44" w:rsidRPr="004C49D2" w:rsidRDefault="00BF3E44" w:rsidP="00CB7282">
            <w:pPr>
              <w:pStyle w:val="Default"/>
              <w:keepNext/>
              <w:keepLines/>
              <w:rPr>
                <w:rFonts w:asciiTheme="minorHAnsi" w:hAnsiTheme="minorHAnsi" w:cstheme="minorHAnsi"/>
                <w:sz w:val="22"/>
                <w:szCs w:val="22"/>
              </w:rPr>
            </w:pPr>
            <w:r w:rsidRPr="004C49D2">
              <w:rPr>
                <w:rFonts w:asciiTheme="minorHAnsi" w:hAnsiTheme="minorHAnsi" w:cstheme="minorHAnsi"/>
                <w:sz w:val="22"/>
                <w:szCs w:val="22"/>
              </w:rPr>
              <w:t>Für die Desinfektion der Hände muss in der Schleuse ein ohne Handberührung bedienbarer Desinfektionsmittelspender vorhanden sein. Ein Handwaschbecken mit Handwaschmittel- und Einmalhandtuchspender, dessen Wasser</w:t>
            </w:r>
            <w:r>
              <w:rPr>
                <w:rFonts w:asciiTheme="minorHAnsi" w:hAnsiTheme="minorHAnsi" w:cstheme="minorHAnsi"/>
                <w:sz w:val="22"/>
                <w:szCs w:val="22"/>
              </w:rPr>
              <w:t>armatur handberüh</w:t>
            </w:r>
            <w:r w:rsidRPr="004C49D2">
              <w:rPr>
                <w:rFonts w:asciiTheme="minorHAnsi" w:hAnsiTheme="minorHAnsi" w:cstheme="minorHAnsi"/>
                <w:sz w:val="22"/>
                <w:szCs w:val="22"/>
              </w:rPr>
              <w:t xml:space="preserve">rungslos eingerichtet ist, muss vorhanden sein. </w:t>
            </w:r>
          </w:p>
          <w:p w14:paraId="7764A4BA" w14:textId="77777777" w:rsidR="00BF3E44" w:rsidRPr="004C49D2" w:rsidRDefault="00BF3E44" w:rsidP="00CB7282">
            <w:pPr>
              <w:pStyle w:val="Default"/>
              <w:keepNext/>
              <w:keepLines/>
              <w:rPr>
                <w:rFonts w:asciiTheme="minorHAnsi" w:hAnsiTheme="minorHAnsi" w:cstheme="minorHAnsi"/>
                <w:sz w:val="22"/>
                <w:szCs w:val="22"/>
              </w:rPr>
            </w:pPr>
            <w:r w:rsidRPr="004C49D2">
              <w:rPr>
                <w:rFonts w:asciiTheme="minorHAnsi" w:hAnsiTheme="minorHAnsi" w:cstheme="minorHAnsi"/>
                <w:b/>
                <w:bCs/>
                <w:i/>
                <w:iCs/>
                <w:sz w:val="22"/>
                <w:szCs w:val="22"/>
              </w:rPr>
              <w:t xml:space="preserve">Hinweise: </w:t>
            </w:r>
            <w:r w:rsidRPr="004C49D2">
              <w:rPr>
                <w:rFonts w:asciiTheme="minorHAnsi" w:hAnsiTheme="minorHAnsi" w:cstheme="minorHAnsi"/>
                <w:i/>
                <w:iCs/>
                <w:sz w:val="22"/>
                <w:szCs w:val="22"/>
              </w:rPr>
              <w:t xml:space="preserve">Bei bestimmungsgemäßem Betrieb und unter Beachtung der organisatorischen Sicherheitsmaßnahmen fallen in der Schleuse keine kontaminierten Abwässer an. </w:t>
            </w:r>
          </w:p>
          <w:p w14:paraId="6B105DE4" w14:textId="77777777" w:rsidR="00BF3E44" w:rsidRPr="004C49D2" w:rsidRDefault="00BF3E44" w:rsidP="00CB7282">
            <w:pPr>
              <w:pStyle w:val="Listenabsatz"/>
              <w:keepNext/>
              <w:keepLines/>
              <w:ind w:left="0"/>
              <w:rPr>
                <w:rFonts w:cstheme="minorHAnsi"/>
              </w:rPr>
            </w:pPr>
            <w:r w:rsidRPr="004C49D2">
              <w:rPr>
                <w:rFonts w:cstheme="minorHAnsi"/>
                <w:i/>
                <w:iCs/>
              </w:rPr>
              <w:t>Hautschutz- und Pflegemittel müssen außerhalb des Schutzstufenbereichs zur Verfügung stehen. Die Hände sind nach Hautschutzplan zu pflegen.</w:t>
            </w:r>
          </w:p>
        </w:tc>
        <w:sdt>
          <w:sdtPr>
            <w:rPr>
              <w:rFonts w:cstheme="minorHAnsi"/>
            </w:rPr>
            <w:id w:val="1221708148"/>
            <w14:checkbox>
              <w14:checked w14:val="0"/>
              <w14:checkedState w14:val="2612" w14:font="MS Gothic"/>
              <w14:uncheckedState w14:val="2610" w14:font="MS Gothic"/>
            </w14:checkbox>
          </w:sdtPr>
          <w:sdtContent>
            <w:tc>
              <w:tcPr>
                <w:tcW w:w="425" w:type="dxa"/>
                <w:vAlign w:val="center"/>
              </w:tcPr>
              <w:p w14:paraId="6DEEEA70"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679343685"/>
            <w14:checkbox>
              <w14:checked w14:val="0"/>
              <w14:checkedState w14:val="2612" w14:font="MS Gothic"/>
              <w14:uncheckedState w14:val="2610" w14:font="MS Gothic"/>
            </w14:checkbox>
          </w:sdtPr>
          <w:sdtContent>
            <w:tc>
              <w:tcPr>
                <w:tcW w:w="425" w:type="dxa"/>
                <w:vAlign w:val="center"/>
              </w:tcPr>
              <w:p w14:paraId="01A4B936"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75376F90" w14:textId="77777777" w:rsidR="00BF3E44" w:rsidRPr="004C49D2" w:rsidRDefault="00BF3E44" w:rsidP="00BF3E44">
            <w:pPr>
              <w:keepNext/>
              <w:keepLines/>
              <w:jc w:val="center"/>
              <w:rPr>
                <w:rFonts w:cstheme="minorHAnsi"/>
              </w:rPr>
            </w:pPr>
          </w:p>
        </w:tc>
      </w:tr>
      <w:tr w:rsidR="00BF3E44" w:rsidRPr="004C49D2" w14:paraId="67AE75AD" w14:textId="77777777" w:rsidTr="00BF3E44">
        <w:trPr>
          <w:gridAfter w:val="1"/>
          <w:wAfter w:w="6" w:type="dxa"/>
        </w:trPr>
        <w:tc>
          <w:tcPr>
            <w:tcW w:w="9493" w:type="dxa"/>
            <w:shd w:val="clear" w:color="auto" w:fill="auto"/>
            <w:vAlign w:val="center"/>
          </w:tcPr>
          <w:p w14:paraId="5CBEB038" w14:textId="77777777" w:rsidR="00BF3E44" w:rsidRPr="007158F7" w:rsidRDefault="00BF3E44" w:rsidP="004C49D2">
            <w:pPr>
              <w:pStyle w:val="Listenabsatz"/>
              <w:ind w:left="0"/>
              <w:rPr>
                <w:rFonts w:cstheme="minorHAnsi"/>
                <w:b/>
              </w:rPr>
            </w:pPr>
            <w:r w:rsidRPr="007158F7">
              <w:rPr>
                <w:rFonts w:cstheme="minorHAnsi"/>
                <w:b/>
              </w:rPr>
              <w:t>(3) Unterdruck:</w:t>
            </w:r>
          </w:p>
          <w:p w14:paraId="1A7B318F" w14:textId="1026E630" w:rsidR="00BF3E44" w:rsidRPr="004C49D2" w:rsidRDefault="00BF3E44" w:rsidP="004C49D2">
            <w:pPr>
              <w:pStyle w:val="Listenabsatz"/>
              <w:ind w:left="0"/>
              <w:rPr>
                <w:rFonts w:cstheme="minorHAnsi"/>
              </w:rPr>
            </w:pPr>
            <w:r w:rsidRPr="004C49D2">
              <w:rPr>
                <w:rFonts w:cstheme="minorHAnsi"/>
              </w:rPr>
              <w:t>Im Schutzstufenbereich ist ein ständiger, kontrollierter Unterdruck aufrecht zu erhalten. Zwischen Schleuse und Laboratorium muss ein Druckgefälle herrschen</w:t>
            </w:r>
            <w:r>
              <w:rPr>
                <w:rFonts w:cstheme="minorHAnsi"/>
              </w:rPr>
              <w:t xml:space="preserve"> (siehe ABAS Stellungnahme zu Vorgaben)</w:t>
            </w:r>
            <w:r w:rsidRPr="004C49D2">
              <w:rPr>
                <w:rFonts w:cstheme="minorHAnsi"/>
              </w:rPr>
              <w:t>. Der vorhandene Unterdruck muss durch die Labornutzer − sinnvollerweise auch von innen − leicht überprüfbar sein und durch einen Al</w:t>
            </w:r>
            <w:r>
              <w:rPr>
                <w:rFonts w:cstheme="minorHAnsi"/>
              </w:rPr>
              <w:t>armgeber mit optischem und akus</w:t>
            </w:r>
            <w:r w:rsidRPr="004C49D2">
              <w:rPr>
                <w:rFonts w:cstheme="minorHAnsi"/>
              </w:rPr>
              <w:t>tischem Signal überwacht werden.</w:t>
            </w:r>
          </w:p>
        </w:tc>
        <w:sdt>
          <w:sdtPr>
            <w:rPr>
              <w:rFonts w:cstheme="minorHAnsi"/>
            </w:rPr>
            <w:id w:val="-402907979"/>
            <w14:checkbox>
              <w14:checked w14:val="0"/>
              <w14:checkedState w14:val="2612" w14:font="MS Gothic"/>
              <w14:uncheckedState w14:val="2610" w14:font="MS Gothic"/>
            </w14:checkbox>
          </w:sdtPr>
          <w:sdtContent>
            <w:tc>
              <w:tcPr>
                <w:tcW w:w="425" w:type="dxa"/>
                <w:vAlign w:val="center"/>
              </w:tcPr>
              <w:p w14:paraId="0328ECEE"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624380133"/>
            <w14:checkbox>
              <w14:checked w14:val="0"/>
              <w14:checkedState w14:val="2612" w14:font="MS Gothic"/>
              <w14:uncheckedState w14:val="2610" w14:font="MS Gothic"/>
            </w14:checkbox>
          </w:sdtPr>
          <w:sdtContent>
            <w:tc>
              <w:tcPr>
                <w:tcW w:w="425" w:type="dxa"/>
                <w:vAlign w:val="center"/>
              </w:tcPr>
              <w:p w14:paraId="54161FDB"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3E1FDEAD" w14:textId="77777777" w:rsidR="00BF3E44" w:rsidRPr="004C49D2" w:rsidRDefault="00BF3E44" w:rsidP="00BF3E44">
            <w:pPr>
              <w:jc w:val="center"/>
              <w:rPr>
                <w:rFonts w:cstheme="minorHAnsi"/>
              </w:rPr>
            </w:pPr>
          </w:p>
        </w:tc>
      </w:tr>
      <w:tr w:rsidR="00BF3E44" w:rsidRPr="004C49D2" w14:paraId="738387E0" w14:textId="77777777" w:rsidTr="00BF3E44">
        <w:trPr>
          <w:gridAfter w:val="1"/>
          <w:wAfter w:w="6" w:type="dxa"/>
        </w:trPr>
        <w:tc>
          <w:tcPr>
            <w:tcW w:w="9493" w:type="dxa"/>
            <w:shd w:val="clear" w:color="auto" w:fill="auto"/>
            <w:vAlign w:val="center"/>
          </w:tcPr>
          <w:p w14:paraId="2AE55E18" w14:textId="77777777" w:rsidR="00BF3E44" w:rsidRPr="007158F7" w:rsidRDefault="00BF3E44" w:rsidP="00AB3386">
            <w:pPr>
              <w:pStyle w:val="Default"/>
              <w:keepNext/>
              <w:keepLines/>
              <w:rPr>
                <w:rFonts w:asciiTheme="minorHAnsi" w:hAnsiTheme="minorHAnsi" w:cstheme="minorHAnsi"/>
                <w:b/>
                <w:sz w:val="22"/>
                <w:szCs w:val="22"/>
              </w:rPr>
            </w:pPr>
            <w:r w:rsidRPr="007158F7">
              <w:rPr>
                <w:rFonts w:asciiTheme="minorHAnsi" w:hAnsiTheme="minorHAnsi" w:cstheme="minorHAnsi"/>
                <w:b/>
                <w:sz w:val="22"/>
                <w:szCs w:val="22"/>
              </w:rPr>
              <w:lastRenderedPageBreak/>
              <w:t>HEPA Filterung Abluft:</w:t>
            </w:r>
          </w:p>
          <w:p w14:paraId="3C5775F1" w14:textId="77777777" w:rsidR="00BF3E44" w:rsidRPr="004C49D2" w:rsidRDefault="00BF3E44" w:rsidP="00AB3386">
            <w:pPr>
              <w:pStyle w:val="Default"/>
              <w:keepNext/>
              <w:keepLines/>
              <w:rPr>
                <w:rFonts w:asciiTheme="minorHAnsi" w:hAnsiTheme="minorHAnsi" w:cstheme="minorHAnsi"/>
                <w:sz w:val="22"/>
                <w:szCs w:val="22"/>
              </w:rPr>
            </w:pPr>
            <w:r w:rsidRPr="004C49D2">
              <w:rPr>
                <w:rFonts w:asciiTheme="minorHAnsi" w:hAnsiTheme="minorHAnsi" w:cstheme="minorHAnsi"/>
                <w:sz w:val="22"/>
                <w:szCs w:val="22"/>
              </w:rPr>
              <w:t xml:space="preserve">Die Abluft muss über einen Hochleistungsschwebstoff-Filter oder eine vergleichbare Vorrichtung geführt werden. Die Rückführung kontaminierter Fortluft in Arbeitsbereiche ist unzulässig. Ein Filterwechsel soll ohne Freisetzung biologischer Arbeitsstoffe möglich sein. Dies ist in der Planung der raumlufttechnischen Anlage (RLT-Anlage) zu berücksichtigen (siehe auch Absatz 26). </w:t>
            </w:r>
          </w:p>
          <w:p w14:paraId="02547360" w14:textId="77777777" w:rsidR="00BF3E44" w:rsidRPr="004C49D2" w:rsidRDefault="00BF3E44" w:rsidP="00AB3386">
            <w:pPr>
              <w:pStyle w:val="Default"/>
              <w:keepNext/>
              <w:keepLines/>
              <w:rPr>
                <w:rFonts w:asciiTheme="minorHAnsi" w:hAnsiTheme="minorHAnsi" w:cstheme="minorHAnsi"/>
                <w:sz w:val="22"/>
                <w:szCs w:val="22"/>
              </w:rPr>
            </w:pPr>
            <w:r w:rsidRPr="004C49D2">
              <w:rPr>
                <w:rFonts w:asciiTheme="minorHAnsi" w:hAnsiTheme="minorHAnsi" w:cstheme="minorHAnsi"/>
                <w:b/>
                <w:bCs/>
                <w:i/>
                <w:iCs/>
                <w:sz w:val="22"/>
                <w:szCs w:val="22"/>
              </w:rPr>
              <w:t xml:space="preserve">Hinweise: </w:t>
            </w:r>
            <w:r w:rsidRPr="004C49D2">
              <w:rPr>
                <w:rFonts w:asciiTheme="minorHAnsi" w:hAnsiTheme="minorHAnsi" w:cstheme="minorHAnsi"/>
                <w:i/>
                <w:iCs/>
                <w:sz w:val="22"/>
                <w:szCs w:val="22"/>
              </w:rPr>
              <w:t xml:space="preserve">Die Lüftungskanalwege bis zu den HEPA-Filtern sollten möglichst kurz sein. </w:t>
            </w:r>
          </w:p>
          <w:p w14:paraId="7CDACEA9" w14:textId="0DDDCD63" w:rsidR="00BF3E44" w:rsidRPr="004C49D2" w:rsidRDefault="00BF3E44" w:rsidP="00CB7282">
            <w:pPr>
              <w:pStyle w:val="Listenabsatz"/>
              <w:keepNext/>
              <w:keepLines/>
              <w:ind w:left="0"/>
              <w:rPr>
                <w:rFonts w:cstheme="minorHAnsi"/>
              </w:rPr>
            </w:pPr>
            <w:r w:rsidRPr="004C49D2">
              <w:rPr>
                <w:rFonts w:cstheme="minorHAnsi"/>
                <w:i/>
                <w:iCs/>
              </w:rPr>
              <w:t xml:space="preserve">Zum Einsatz von HEPA-Filtern </w:t>
            </w:r>
            <w:r>
              <w:rPr>
                <w:rFonts w:cstheme="minorHAnsi"/>
                <w:i/>
                <w:iCs/>
              </w:rPr>
              <w:t>siehe Stellungnahme des ABAS</w:t>
            </w:r>
            <w:r w:rsidRPr="004C49D2">
              <w:rPr>
                <w:rFonts w:cstheme="minorHAnsi"/>
                <w:i/>
                <w:iCs/>
              </w:rPr>
              <w:t>.</w:t>
            </w:r>
          </w:p>
        </w:tc>
        <w:sdt>
          <w:sdtPr>
            <w:rPr>
              <w:rFonts w:cstheme="minorHAnsi"/>
            </w:rPr>
            <w:id w:val="-259060754"/>
            <w14:checkbox>
              <w14:checked w14:val="0"/>
              <w14:checkedState w14:val="2612" w14:font="MS Gothic"/>
              <w14:uncheckedState w14:val="2610" w14:font="MS Gothic"/>
            </w14:checkbox>
          </w:sdtPr>
          <w:sdtContent>
            <w:tc>
              <w:tcPr>
                <w:tcW w:w="425" w:type="dxa"/>
                <w:vAlign w:val="center"/>
              </w:tcPr>
              <w:p w14:paraId="713730B7"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33336778"/>
            <w14:checkbox>
              <w14:checked w14:val="0"/>
              <w14:checkedState w14:val="2612" w14:font="MS Gothic"/>
              <w14:uncheckedState w14:val="2610" w14:font="MS Gothic"/>
            </w14:checkbox>
          </w:sdtPr>
          <w:sdtContent>
            <w:tc>
              <w:tcPr>
                <w:tcW w:w="425" w:type="dxa"/>
                <w:vAlign w:val="center"/>
              </w:tcPr>
              <w:p w14:paraId="6D54CF0B"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7FE79D1E" w14:textId="77777777" w:rsidR="00BF3E44" w:rsidRPr="004C49D2" w:rsidRDefault="00BF3E44" w:rsidP="00BF3E44">
            <w:pPr>
              <w:keepNext/>
              <w:keepLines/>
              <w:jc w:val="center"/>
              <w:rPr>
                <w:rFonts w:cstheme="minorHAnsi"/>
              </w:rPr>
            </w:pPr>
          </w:p>
        </w:tc>
      </w:tr>
      <w:tr w:rsidR="00BF3E44" w:rsidRPr="004C49D2" w14:paraId="08F199AE" w14:textId="77777777" w:rsidTr="00BF3E44">
        <w:trPr>
          <w:gridAfter w:val="1"/>
          <w:wAfter w:w="6" w:type="dxa"/>
        </w:trPr>
        <w:tc>
          <w:tcPr>
            <w:tcW w:w="9493" w:type="dxa"/>
            <w:shd w:val="clear" w:color="auto" w:fill="auto"/>
            <w:vAlign w:val="center"/>
          </w:tcPr>
          <w:p w14:paraId="18007F82" w14:textId="77777777" w:rsidR="00BF3E44" w:rsidRPr="007158F7" w:rsidRDefault="00BF3E44" w:rsidP="004C49D2">
            <w:pPr>
              <w:pStyle w:val="Listenabsatz"/>
              <w:ind w:left="0"/>
              <w:rPr>
                <w:rFonts w:cstheme="minorHAnsi"/>
                <w:b/>
              </w:rPr>
            </w:pPr>
            <w:r>
              <w:rPr>
                <w:rFonts w:cstheme="minorHAnsi"/>
                <w:b/>
              </w:rPr>
              <w:t>(</w:t>
            </w:r>
            <w:r w:rsidRPr="007158F7">
              <w:rPr>
                <w:rFonts w:cstheme="minorHAnsi"/>
                <w:b/>
              </w:rPr>
              <w:t xml:space="preserve">4) </w:t>
            </w:r>
            <w:r>
              <w:rPr>
                <w:rFonts w:cstheme="minorHAnsi"/>
                <w:b/>
              </w:rPr>
              <w:t>Mikrobiologische Sicherheitswerkbank:</w:t>
            </w:r>
          </w:p>
          <w:p w14:paraId="66285DB0" w14:textId="77777777" w:rsidR="00BF3E44" w:rsidRPr="004C49D2" w:rsidRDefault="00BF3E44" w:rsidP="004C49D2">
            <w:pPr>
              <w:pStyle w:val="Listenabsatz"/>
              <w:ind w:left="0"/>
              <w:rPr>
                <w:rFonts w:cstheme="minorHAnsi"/>
              </w:rPr>
            </w:pPr>
            <w:r w:rsidRPr="004C49D2">
              <w:rPr>
                <w:rFonts w:cstheme="minorHAnsi"/>
              </w:rPr>
              <w:t>Die offene Handhabung von biologischen Arbeitsstoffen der Risikogruppe 3 ist in einer mikrobiologischen Sicherheitswerkbank (MSW) oder in einer im Personenschutz vergleichbaren Einrichtung durchzuführen. Dies gilt auch für entsprechende Tätigkeiten mit Materialien, die nach dem Ergebnis der Gefährdungsbeurteilung in einem Laboratorium der Schutzstufe 3 durchgeführt werden müssen.</w:t>
            </w:r>
          </w:p>
        </w:tc>
        <w:sdt>
          <w:sdtPr>
            <w:rPr>
              <w:rFonts w:cstheme="minorHAnsi"/>
            </w:rPr>
            <w:id w:val="273756426"/>
            <w14:checkbox>
              <w14:checked w14:val="0"/>
              <w14:checkedState w14:val="2612" w14:font="MS Gothic"/>
              <w14:uncheckedState w14:val="2610" w14:font="MS Gothic"/>
            </w14:checkbox>
          </w:sdtPr>
          <w:sdtContent>
            <w:tc>
              <w:tcPr>
                <w:tcW w:w="425" w:type="dxa"/>
                <w:vAlign w:val="center"/>
              </w:tcPr>
              <w:p w14:paraId="359F235F"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480539515"/>
            <w14:checkbox>
              <w14:checked w14:val="0"/>
              <w14:checkedState w14:val="2612" w14:font="MS Gothic"/>
              <w14:uncheckedState w14:val="2610" w14:font="MS Gothic"/>
            </w14:checkbox>
          </w:sdtPr>
          <w:sdtContent>
            <w:tc>
              <w:tcPr>
                <w:tcW w:w="425" w:type="dxa"/>
                <w:vAlign w:val="center"/>
              </w:tcPr>
              <w:p w14:paraId="351CC5B6"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552509B0" w14:textId="77777777" w:rsidR="00BF3E44" w:rsidRPr="004C49D2" w:rsidRDefault="00BF3E44" w:rsidP="00BF3E44">
            <w:pPr>
              <w:jc w:val="center"/>
              <w:rPr>
                <w:rFonts w:cstheme="minorHAnsi"/>
              </w:rPr>
            </w:pPr>
          </w:p>
        </w:tc>
      </w:tr>
      <w:tr w:rsidR="00BF3E44" w:rsidRPr="004C49D2" w14:paraId="215A7C20" w14:textId="77777777" w:rsidTr="00BF3E44">
        <w:trPr>
          <w:gridAfter w:val="1"/>
          <w:wAfter w:w="6" w:type="dxa"/>
        </w:trPr>
        <w:tc>
          <w:tcPr>
            <w:tcW w:w="9493" w:type="dxa"/>
            <w:shd w:val="clear" w:color="auto" w:fill="auto"/>
            <w:vAlign w:val="center"/>
          </w:tcPr>
          <w:p w14:paraId="37A15B8A" w14:textId="77777777" w:rsidR="00BF3E44" w:rsidRPr="007158F7" w:rsidRDefault="00BF3E44" w:rsidP="004C49D2">
            <w:pPr>
              <w:pStyle w:val="Listenabsatz"/>
              <w:ind w:left="0"/>
              <w:rPr>
                <w:rFonts w:cstheme="minorHAnsi"/>
                <w:b/>
              </w:rPr>
            </w:pPr>
            <w:r w:rsidRPr="007158F7">
              <w:rPr>
                <w:rFonts w:cstheme="minorHAnsi"/>
                <w:b/>
              </w:rPr>
              <w:t>(5) Notstromversorgung:</w:t>
            </w:r>
          </w:p>
          <w:p w14:paraId="444180DE" w14:textId="43CFD034" w:rsidR="00BF3E44" w:rsidRPr="004C49D2" w:rsidRDefault="00BF3E44" w:rsidP="004C49D2">
            <w:pPr>
              <w:pStyle w:val="Listenabsatz"/>
              <w:ind w:left="0"/>
              <w:rPr>
                <w:rFonts w:cstheme="minorHAnsi"/>
              </w:rPr>
            </w:pPr>
            <w:r w:rsidRPr="004C49D2">
              <w:rPr>
                <w:rFonts w:cstheme="minorHAnsi"/>
              </w:rPr>
              <w:t>Für sicherheitsrelevante Einrichtungen wie Lü</w:t>
            </w:r>
            <w:r>
              <w:rPr>
                <w:rFonts w:cstheme="minorHAnsi"/>
              </w:rPr>
              <w:t>ftungsanlagen, Notruf- und Über</w:t>
            </w:r>
            <w:r w:rsidRPr="004C49D2">
              <w:rPr>
                <w:rFonts w:cstheme="minorHAnsi"/>
              </w:rPr>
              <w:t>wachungseinrichtungen ist eine Notstromversorgung einzurichten.</w:t>
            </w:r>
          </w:p>
        </w:tc>
        <w:sdt>
          <w:sdtPr>
            <w:rPr>
              <w:rFonts w:cstheme="minorHAnsi"/>
            </w:rPr>
            <w:id w:val="-209962882"/>
            <w14:checkbox>
              <w14:checked w14:val="0"/>
              <w14:checkedState w14:val="2612" w14:font="MS Gothic"/>
              <w14:uncheckedState w14:val="2610" w14:font="MS Gothic"/>
            </w14:checkbox>
          </w:sdtPr>
          <w:sdtContent>
            <w:tc>
              <w:tcPr>
                <w:tcW w:w="425" w:type="dxa"/>
                <w:vAlign w:val="center"/>
              </w:tcPr>
              <w:p w14:paraId="1FF9A648"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2058199014"/>
            <w14:checkbox>
              <w14:checked w14:val="0"/>
              <w14:checkedState w14:val="2612" w14:font="MS Gothic"/>
              <w14:uncheckedState w14:val="2610" w14:font="MS Gothic"/>
            </w14:checkbox>
          </w:sdtPr>
          <w:sdtContent>
            <w:tc>
              <w:tcPr>
                <w:tcW w:w="425" w:type="dxa"/>
                <w:vAlign w:val="center"/>
              </w:tcPr>
              <w:p w14:paraId="476CE5A2"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4DE69121" w14:textId="77777777" w:rsidR="00BF3E44" w:rsidRPr="004C49D2" w:rsidRDefault="00BF3E44" w:rsidP="00BF3E44">
            <w:pPr>
              <w:jc w:val="center"/>
              <w:rPr>
                <w:rFonts w:cstheme="minorHAnsi"/>
              </w:rPr>
            </w:pPr>
          </w:p>
        </w:tc>
      </w:tr>
      <w:tr w:rsidR="00BF3E44" w:rsidRPr="004C49D2" w14:paraId="4D8A1BBF" w14:textId="77777777" w:rsidTr="00BF3E44">
        <w:trPr>
          <w:gridAfter w:val="1"/>
          <w:wAfter w:w="6" w:type="dxa"/>
        </w:trPr>
        <w:tc>
          <w:tcPr>
            <w:tcW w:w="9493" w:type="dxa"/>
            <w:shd w:val="clear" w:color="auto" w:fill="auto"/>
            <w:vAlign w:val="center"/>
          </w:tcPr>
          <w:p w14:paraId="2758A900" w14:textId="77777777" w:rsidR="00BF3E44" w:rsidRPr="004C49D2" w:rsidRDefault="00BF3E44" w:rsidP="004C49D2">
            <w:pPr>
              <w:pStyle w:val="Listenabsatz"/>
              <w:ind w:left="0"/>
              <w:rPr>
                <w:rFonts w:cstheme="minorHAnsi"/>
              </w:rPr>
            </w:pPr>
            <w:r w:rsidRPr="000C64B7">
              <w:rPr>
                <w:rFonts w:cstheme="minorHAnsi"/>
                <w:b/>
              </w:rPr>
              <w:t>(6)</w:t>
            </w:r>
            <w:r w:rsidRPr="004C49D2">
              <w:rPr>
                <w:rFonts w:cstheme="minorHAnsi"/>
              </w:rPr>
              <w:t xml:space="preserve"> Eine </w:t>
            </w:r>
            <w:r w:rsidRPr="007158F7">
              <w:rPr>
                <w:rFonts w:cstheme="minorHAnsi"/>
                <w:b/>
              </w:rPr>
              <w:t>Sicherheitsbeleuchtung</w:t>
            </w:r>
            <w:r w:rsidRPr="004C49D2">
              <w:rPr>
                <w:rFonts w:cstheme="minorHAnsi"/>
              </w:rPr>
              <w:t xml:space="preserve"> muss vorhanden sein. Sie ist so auszulegen, dass ein sicheres Einstellen der Arbeiten bei Stromausfall möglich ist.</w:t>
            </w:r>
          </w:p>
        </w:tc>
        <w:sdt>
          <w:sdtPr>
            <w:rPr>
              <w:rFonts w:cstheme="minorHAnsi"/>
            </w:rPr>
            <w:id w:val="-779645518"/>
            <w14:checkbox>
              <w14:checked w14:val="0"/>
              <w14:checkedState w14:val="2612" w14:font="MS Gothic"/>
              <w14:uncheckedState w14:val="2610" w14:font="MS Gothic"/>
            </w14:checkbox>
          </w:sdtPr>
          <w:sdtContent>
            <w:tc>
              <w:tcPr>
                <w:tcW w:w="425" w:type="dxa"/>
                <w:vAlign w:val="center"/>
              </w:tcPr>
              <w:p w14:paraId="0F582285"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944510022"/>
            <w14:checkbox>
              <w14:checked w14:val="0"/>
              <w14:checkedState w14:val="2612" w14:font="MS Gothic"/>
              <w14:uncheckedState w14:val="2610" w14:font="MS Gothic"/>
            </w14:checkbox>
          </w:sdtPr>
          <w:sdtContent>
            <w:tc>
              <w:tcPr>
                <w:tcW w:w="425" w:type="dxa"/>
                <w:vAlign w:val="center"/>
              </w:tcPr>
              <w:p w14:paraId="433100AA"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14850128" w14:textId="77777777" w:rsidR="00BF3E44" w:rsidRPr="004C49D2" w:rsidRDefault="00BF3E44" w:rsidP="00BF3E44">
            <w:pPr>
              <w:jc w:val="center"/>
              <w:rPr>
                <w:rFonts w:cstheme="minorHAnsi"/>
              </w:rPr>
            </w:pPr>
          </w:p>
        </w:tc>
      </w:tr>
      <w:tr w:rsidR="00BF3E44" w:rsidRPr="004C49D2" w14:paraId="2BFCA18C" w14:textId="77777777" w:rsidTr="00BF3E44">
        <w:trPr>
          <w:gridAfter w:val="1"/>
          <w:wAfter w:w="6" w:type="dxa"/>
        </w:trPr>
        <w:tc>
          <w:tcPr>
            <w:tcW w:w="9493" w:type="dxa"/>
            <w:shd w:val="clear" w:color="auto" w:fill="auto"/>
            <w:vAlign w:val="center"/>
          </w:tcPr>
          <w:p w14:paraId="46573B6A" w14:textId="77777777" w:rsidR="00BF3E44" w:rsidRPr="007158F7" w:rsidRDefault="00BF3E44" w:rsidP="004C49D2">
            <w:pPr>
              <w:pStyle w:val="Default"/>
              <w:rPr>
                <w:rFonts w:asciiTheme="minorHAnsi" w:hAnsiTheme="minorHAnsi" w:cstheme="minorHAnsi"/>
                <w:b/>
                <w:sz w:val="22"/>
                <w:szCs w:val="22"/>
              </w:rPr>
            </w:pPr>
            <w:r w:rsidRPr="007158F7">
              <w:rPr>
                <w:rFonts w:asciiTheme="minorHAnsi" w:hAnsiTheme="minorHAnsi" w:cstheme="minorHAnsi"/>
                <w:b/>
                <w:sz w:val="22"/>
                <w:szCs w:val="22"/>
              </w:rPr>
              <w:t>(7) Abfallentsorgung:</w:t>
            </w:r>
          </w:p>
          <w:p w14:paraId="1B8F20DC" w14:textId="77777777" w:rsidR="00BF3E44" w:rsidRPr="004C49D2" w:rsidRDefault="00BF3E44" w:rsidP="004C49D2">
            <w:pPr>
              <w:pStyle w:val="Default"/>
              <w:rPr>
                <w:rFonts w:asciiTheme="minorHAnsi" w:hAnsiTheme="minorHAnsi" w:cstheme="minorHAnsi"/>
                <w:sz w:val="22"/>
                <w:szCs w:val="22"/>
              </w:rPr>
            </w:pPr>
            <w:r w:rsidRPr="004C49D2">
              <w:rPr>
                <w:rFonts w:asciiTheme="minorHAnsi" w:hAnsiTheme="minorHAnsi" w:cstheme="minorHAnsi"/>
                <w:sz w:val="22"/>
                <w:szCs w:val="22"/>
              </w:rPr>
              <w:t xml:space="preserve">Alle Fest- und Flüssigabfälle aus dem Laboratorium sind vor deren Entsorgung zu autoklavieren. Hierfür muss im Schutzstufenbereich außerhalb der Schleuse ein Autoklav vorhanden sein. Der Autoklav muss so beschaffen sein, dass kontaminiertes Kondensat und kontaminierte Abluft nicht freigesetzt werden. </w:t>
            </w:r>
          </w:p>
          <w:p w14:paraId="5CEC591C" w14:textId="77777777" w:rsidR="00BF3E44" w:rsidRPr="004C49D2" w:rsidRDefault="00BF3E44" w:rsidP="004C49D2">
            <w:pPr>
              <w:pStyle w:val="Default"/>
              <w:rPr>
                <w:rFonts w:asciiTheme="minorHAnsi" w:hAnsiTheme="minorHAnsi" w:cstheme="minorHAnsi"/>
                <w:sz w:val="22"/>
                <w:szCs w:val="22"/>
              </w:rPr>
            </w:pPr>
            <w:r w:rsidRPr="004C49D2">
              <w:rPr>
                <w:rFonts w:asciiTheme="minorHAnsi" w:hAnsiTheme="minorHAnsi" w:cstheme="minorHAnsi"/>
                <w:sz w:val="22"/>
                <w:szCs w:val="22"/>
              </w:rPr>
              <w:t xml:space="preserve">Alternativ kann auch ein gleichwertiges validiertes Inaktivierungsverfahren eingesetzt werden. </w:t>
            </w:r>
          </w:p>
          <w:p w14:paraId="7223620F" w14:textId="77777777" w:rsidR="00BF3E44" w:rsidRPr="004C49D2" w:rsidRDefault="00BF3E44" w:rsidP="004C49D2">
            <w:pPr>
              <w:pStyle w:val="Listenabsatz"/>
              <w:ind w:left="0"/>
              <w:rPr>
                <w:rFonts w:cstheme="minorHAnsi"/>
              </w:rPr>
            </w:pPr>
            <w:r w:rsidRPr="004C49D2">
              <w:rPr>
                <w:rFonts w:cstheme="minorHAnsi"/>
                <w:b/>
                <w:bCs/>
                <w:i/>
                <w:iCs/>
              </w:rPr>
              <w:t xml:space="preserve">Hinweis: </w:t>
            </w:r>
            <w:r w:rsidRPr="004C49D2">
              <w:rPr>
                <w:rFonts w:cstheme="minorHAnsi"/>
                <w:i/>
                <w:iCs/>
              </w:rPr>
              <w:t>In der Regel wird das Kondensat im Druckbehälter mit sterilisiert.</w:t>
            </w:r>
          </w:p>
        </w:tc>
        <w:sdt>
          <w:sdtPr>
            <w:rPr>
              <w:rFonts w:cstheme="minorHAnsi"/>
            </w:rPr>
            <w:id w:val="1394850940"/>
            <w14:checkbox>
              <w14:checked w14:val="0"/>
              <w14:checkedState w14:val="2612" w14:font="MS Gothic"/>
              <w14:uncheckedState w14:val="2610" w14:font="MS Gothic"/>
            </w14:checkbox>
          </w:sdtPr>
          <w:sdtContent>
            <w:tc>
              <w:tcPr>
                <w:tcW w:w="425" w:type="dxa"/>
                <w:vAlign w:val="center"/>
              </w:tcPr>
              <w:p w14:paraId="5275BFF3"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469716467"/>
            <w14:checkbox>
              <w14:checked w14:val="0"/>
              <w14:checkedState w14:val="2612" w14:font="MS Gothic"/>
              <w14:uncheckedState w14:val="2610" w14:font="MS Gothic"/>
            </w14:checkbox>
          </w:sdtPr>
          <w:sdtContent>
            <w:tc>
              <w:tcPr>
                <w:tcW w:w="425" w:type="dxa"/>
                <w:vAlign w:val="center"/>
              </w:tcPr>
              <w:p w14:paraId="0A51B9B4"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51EA7E50" w14:textId="77777777" w:rsidR="00BF3E44" w:rsidRPr="004C49D2" w:rsidRDefault="00BF3E44" w:rsidP="00BF3E44">
            <w:pPr>
              <w:jc w:val="center"/>
              <w:rPr>
                <w:rFonts w:cstheme="minorHAnsi"/>
              </w:rPr>
            </w:pPr>
          </w:p>
        </w:tc>
      </w:tr>
      <w:tr w:rsidR="00BF3E44" w:rsidRPr="004C49D2" w14:paraId="1E067441" w14:textId="77777777" w:rsidTr="00BF3E44">
        <w:trPr>
          <w:gridAfter w:val="1"/>
          <w:wAfter w:w="6" w:type="dxa"/>
        </w:trPr>
        <w:tc>
          <w:tcPr>
            <w:tcW w:w="9493" w:type="dxa"/>
            <w:shd w:val="clear" w:color="auto" w:fill="auto"/>
            <w:vAlign w:val="center"/>
          </w:tcPr>
          <w:p w14:paraId="15CE5393" w14:textId="77777777" w:rsidR="00BF3E44" w:rsidRPr="004C49D2" w:rsidRDefault="00BF3E44" w:rsidP="004C49D2">
            <w:pPr>
              <w:pStyle w:val="Default"/>
              <w:rPr>
                <w:rFonts w:asciiTheme="minorHAnsi" w:hAnsiTheme="minorHAnsi" w:cstheme="minorHAnsi"/>
                <w:sz w:val="22"/>
                <w:szCs w:val="22"/>
              </w:rPr>
            </w:pPr>
            <w:r w:rsidRPr="000C64B7">
              <w:rPr>
                <w:rFonts w:asciiTheme="minorHAnsi" w:hAnsiTheme="minorHAnsi" w:cstheme="minorHAnsi"/>
                <w:b/>
                <w:sz w:val="22"/>
                <w:szCs w:val="22"/>
              </w:rPr>
              <w:lastRenderedPageBreak/>
              <w:t>(8)</w:t>
            </w:r>
            <w:r w:rsidRPr="004C49D2">
              <w:rPr>
                <w:rFonts w:asciiTheme="minorHAnsi" w:hAnsiTheme="minorHAnsi" w:cstheme="minorHAnsi"/>
                <w:sz w:val="22"/>
                <w:szCs w:val="22"/>
              </w:rPr>
              <w:t xml:space="preserve"> </w:t>
            </w:r>
            <w:r w:rsidRPr="007158F7">
              <w:rPr>
                <w:rFonts w:asciiTheme="minorHAnsi" w:hAnsiTheme="minorHAnsi" w:cstheme="minorHAnsi"/>
                <w:b/>
                <w:sz w:val="22"/>
                <w:szCs w:val="22"/>
              </w:rPr>
              <w:t>Kontaminierte Prozessabluft</w:t>
            </w:r>
            <w:r w:rsidRPr="004C49D2">
              <w:rPr>
                <w:rFonts w:asciiTheme="minorHAnsi" w:hAnsiTheme="minorHAnsi" w:cstheme="minorHAnsi"/>
                <w:sz w:val="22"/>
                <w:szCs w:val="22"/>
              </w:rPr>
              <w:t xml:space="preserve"> darf nicht unbehandelt in den Arbeitsbereich abgegeben werden. Sie muss zuvor durch geeignete Verfahren (wie z.B. </w:t>
            </w:r>
            <w:proofErr w:type="spellStart"/>
            <w:r w:rsidRPr="004C49D2">
              <w:rPr>
                <w:rFonts w:asciiTheme="minorHAnsi" w:hAnsiTheme="minorHAnsi" w:cstheme="minorHAnsi"/>
                <w:sz w:val="22"/>
                <w:szCs w:val="22"/>
              </w:rPr>
              <w:t>Sterilfiltration</w:t>
            </w:r>
            <w:proofErr w:type="spellEnd"/>
            <w:r w:rsidRPr="004C49D2">
              <w:rPr>
                <w:rFonts w:asciiTheme="minorHAnsi" w:hAnsiTheme="minorHAnsi" w:cstheme="minorHAnsi"/>
                <w:sz w:val="22"/>
                <w:szCs w:val="22"/>
              </w:rPr>
              <w:t xml:space="preserve"> oder thermische Abluftbehandlung) dekontaminiert werden. Dies gilt z.B. auch für die Abluft von Pumpen oder Bioreaktoren.</w:t>
            </w:r>
          </w:p>
        </w:tc>
        <w:sdt>
          <w:sdtPr>
            <w:rPr>
              <w:rFonts w:cstheme="minorHAnsi"/>
            </w:rPr>
            <w:id w:val="114946139"/>
            <w14:checkbox>
              <w14:checked w14:val="0"/>
              <w14:checkedState w14:val="2612" w14:font="MS Gothic"/>
              <w14:uncheckedState w14:val="2610" w14:font="MS Gothic"/>
            </w14:checkbox>
          </w:sdtPr>
          <w:sdtContent>
            <w:tc>
              <w:tcPr>
                <w:tcW w:w="425" w:type="dxa"/>
                <w:vAlign w:val="center"/>
              </w:tcPr>
              <w:p w14:paraId="2768EE78"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787929137"/>
            <w14:checkbox>
              <w14:checked w14:val="0"/>
              <w14:checkedState w14:val="2612" w14:font="MS Gothic"/>
              <w14:uncheckedState w14:val="2610" w14:font="MS Gothic"/>
            </w14:checkbox>
          </w:sdtPr>
          <w:sdtContent>
            <w:tc>
              <w:tcPr>
                <w:tcW w:w="425" w:type="dxa"/>
                <w:vAlign w:val="center"/>
              </w:tcPr>
              <w:p w14:paraId="7F9130AE"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6E390F22" w14:textId="77777777" w:rsidR="00BF3E44" w:rsidRPr="004C49D2" w:rsidRDefault="00BF3E44" w:rsidP="00BF3E44">
            <w:pPr>
              <w:jc w:val="center"/>
              <w:rPr>
                <w:rFonts w:cstheme="minorHAnsi"/>
              </w:rPr>
            </w:pPr>
          </w:p>
        </w:tc>
      </w:tr>
      <w:tr w:rsidR="00BF3E44" w:rsidRPr="004C49D2" w14:paraId="1792FBB3" w14:textId="77777777" w:rsidTr="00BF3E44">
        <w:trPr>
          <w:gridAfter w:val="1"/>
          <w:wAfter w:w="6" w:type="dxa"/>
        </w:trPr>
        <w:tc>
          <w:tcPr>
            <w:tcW w:w="9493" w:type="dxa"/>
            <w:shd w:val="clear" w:color="auto" w:fill="auto"/>
            <w:vAlign w:val="center"/>
          </w:tcPr>
          <w:p w14:paraId="78A6AE69" w14:textId="77777777" w:rsidR="00BF3E44" w:rsidRPr="007158F7" w:rsidRDefault="00BF3E44" w:rsidP="004C49D2">
            <w:pPr>
              <w:pStyle w:val="Default"/>
              <w:rPr>
                <w:rFonts w:asciiTheme="minorHAnsi" w:hAnsiTheme="minorHAnsi" w:cstheme="minorHAnsi"/>
                <w:b/>
                <w:sz w:val="22"/>
                <w:szCs w:val="22"/>
              </w:rPr>
            </w:pPr>
            <w:r w:rsidRPr="007158F7">
              <w:rPr>
                <w:rFonts w:asciiTheme="minorHAnsi" w:hAnsiTheme="minorHAnsi" w:cstheme="minorHAnsi"/>
                <w:b/>
                <w:sz w:val="22"/>
                <w:szCs w:val="22"/>
              </w:rPr>
              <w:t>(9) Abwasserbehandlung:</w:t>
            </w:r>
          </w:p>
          <w:p w14:paraId="2D7DF951" w14:textId="77777777" w:rsidR="00BF3E44" w:rsidRPr="004C49D2" w:rsidRDefault="00BF3E44" w:rsidP="004C49D2">
            <w:pPr>
              <w:pStyle w:val="Default"/>
              <w:rPr>
                <w:rFonts w:asciiTheme="minorHAnsi" w:hAnsiTheme="minorHAnsi" w:cstheme="minorHAnsi"/>
                <w:sz w:val="22"/>
                <w:szCs w:val="22"/>
              </w:rPr>
            </w:pPr>
            <w:r w:rsidRPr="004C49D2">
              <w:rPr>
                <w:rFonts w:asciiTheme="minorHAnsi" w:hAnsiTheme="minorHAnsi" w:cstheme="minorHAnsi"/>
                <w:sz w:val="22"/>
                <w:szCs w:val="22"/>
              </w:rPr>
              <w:t xml:space="preserve"> Im Arbeitsbereich anfallende Abwässer sind grundsätzlich einer thermischen Nachbehandlung zu unterziehen: zentrale Abwasser</w:t>
            </w:r>
            <w:r>
              <w:rPr>
                <w:rFonts w:asciiTheme="minorHAnsi" w:hAnsiTheme="minorHAnsi" w:cstheme="minorHAnsi"/>
                <w:sz w:val="22"/>
                <w:szCs w:val="22"/>
              </w:rPr>
              <w:t>sterilisation oder eine Einrich</w:t>
            </w:r>
            <w:r w:rsidRPr="004C49D2">
              <w:rPr>
                <w:rFonts w:asciiTheme="minorHAnsi" w:hAnsiTheme="minorHAnsi" w:cstheme="minorHAnsi"/>
                <w:sz w:val="22"/>
                <w:szCs w:val="22"/>
              </w:rPr>
              <w:t>tung zur thermischen Abwasserinaktivierung im Laboratorium (z.B. über ein Unter-Tisch-Gerät). Bei kleinen Abwassermengen können diese auch in Auffangbehältern gesammelt und anschließend autoklaviert werden. Alternativ können auch andere validierte Inaktivierungsverfahren eingesetzt werden.</w:t>
            </w:r>
          </w:p>
        </w:tc>
        <w:sdt>
          <w:sdtPr>
            <w:rPr>
              <w:rFonts w:cstheme="minorHAnsi"/>
            </w:rPr>
            <w:id w:val="151498505"/>
            <w14:checkbox>
              <w14:checked w14:val="0"/>
              <w14:checkedState w14:val="2612" w14:font="MS Gothic"/>
              <w14:uncheckedState w14:val="2610" w14:font="MS Gothic"/>
            </w14:checkbox>
          </w:sdtPr>
          <w:sdtContent>
            <w:tc>
              <w:tcPr>
                <w:tcW w:w="425" w:type="dxa"/>
                <w:vAlign w:val="center"/>
              </w:tcPr>
              <w:p w14:paraId="54D265FA"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476254883"/>
            <w14:checkbox>
              <w14:checked w14:val="0"/>
              <w14:checkedState w14:val="2612" w14:font="MS Gothic"/>
              <w14:uncheckedState w14:val="2610" w14:font="MS Gothic"/>
            </w14:checkbox>
          </w:sdtPr>
          <w:sdtContent>
            <w:tc>
              <w:tcPr>
                <w:tcW w:w="425" w:type="dxa"/>
                <w:vAlign w:val="center"/>
              </w:tcPr>
              <w:p w14:paraId="269F0196"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28B735AD" w14:textId="77777777" w:rsidR="00BF3E44" w:rsidRPr="004C49D2" w:rsidRDefault="00BF3E44" w:rsidP="00BF3E44">
            <w:pPr>
              <w:jc w:val="center"/>
              <w:rPr>
                <w:rFonts w:cstheme="minorHAnsi"/>
              </w:rPr>
            </w:pPr>
          </w:p>
        </w:tc>
      </w:tr>
      <w:tr w:rsidR="00BF3E44" w:rsidRPr="004C49D2" w14:paraId="4431FFEC" w14:textId="77777777" w:rsidTr="00BF3E44">
        <w:trPr>
          <w:gridAfter w:val="1"/>
          <w:wAfter w:w="6" w:type="dxa"/>
        </w:trPr>
        <w:tc>
          <w:tcPr>
            <w:tcW w:w="9493" w:type="dxa"/>
            <w:shd w:val="clear" w:color="auto" w:fill="auto"/>
            <w:vAlign w:val="center"/>
          </w:tcPr>
          <w:p w14:paraId="60D56ABF" w14:textId="77777777" w:rsidR="00BF3E44" w:rsidRDefault="00BF3E44" w:rsidP="007158F7">
            <w:pPr>
              <w:pStyle w:val="Default"/>
              <w:rPr>
                <w:rFonts w:asciiTheme="minorHAnsi" w:hAnsiTheme="minorHAnsi" w:cstheme="minorHAnsi"/>
                <w:sz w:val="22"/>
                <w:szCs w:val="22"/>
              </w:rPr>
            </w:pPr>
            <w:r w:rsidRPr="000A1425">
              <w:rPr>
                <w:rFonts w:asciiTheme="minorHAnsi" w:hAnsiTheme="minorHAnsi" w:cstheme="minorHAnsi"/>
                <w:b/>
                <w:sz w:val="22"/>
                <w:szCs w:val="22"/>
              </w:rPr>
              <w:t>(10)</w:t>
            </w:r>
            <w:r w:rsidRPr="004C49D2">
              <w:rPr>
                <w:rFonts w:asciiTheme="minorHAnsi" w:hAnsiTheme="minorHAnsi" w:cstheme="minorHAnsi"/>
                <w:sz w:val="22"/>
                <w:szCs w:val="22"/>
              </w:rPr>
              <w:t xml:space="preserve"> </w:t>
            </w:r>
            <w:r w:rsidRPr="000A1425">
              <w:rPr>
                <w:rFonts w:asciiTheme="minorHAnsi" w:hAnsiTheme="minorHAnsi" w:cstheme="minorHAnsi"/>
                <w:b/>
                <w:sz w:val="22"/>
                <w:szCs w:val="22"/>
              </w:rPr>
              <w:t>sicherheitsrelevante Einrichtung:</w:t>
            </w:r>
          </w:p>
          <w:p w14:paraId="7CCED14C" w14:textId="46A5C723" w:rsidR="00BF3E44" w:rsidRPr="004C49D2" w:rsidRDefault="00BF3E44" w:rsidP="007158F7">
            <w:pPr>
              <w:pStyle w:val="Default"/>
              <w:rPr>
                <w:rFonts w:asciiTheme="minorHAnsi" w:hAnsiTheme="minorHAnsi" w:cstheme="minorHAnsi"/>
                <w:sz w:val="22"/>
                <w:szCs w:val="22"/>
              </w:rPr>
            </w:pPr>
            <w:r w:rsidRPr="004C49D2">
              <w:rPr>
                <w:rFonts w:asciiTheme="minorHAnsi" w:hAnsiTheme="minorHAnsi" w:cstheme="minorHAnsi"/>
                <w:sz w:val="22"/>
                <w:szCs w:val="22"/>
              </w:rPr>
              <w:t>Bei der Planung sicherheitsrelevanter Einrichtu</w:t>
            </w:r>
            <w:r>
              <w:rPr>
                <w:rFonts w:asciiTheme="minorHAnsi" w:hAnsiTheme="minorHAnsi" w:cstheme="minorHAnsi"/>
                <w:sz w:val="22"/>
                <w:szCs w:val="22"/>
              </w:rPr>
              <w:t>ngen, wie z.B. der raumlufttech</w:t>
            </w:r>
            <w:r w:rsidRPr="004C49D2">
              <w:rPr>
                <w:rFonts w:asciiTheme="minorHAnsi" w:hAnsiTheme="minorHAnsi" w:cstheme="minorHAnsi"/>
                <w:sz w:val="22"/>
                <w:szCs w:val="22"/>
              </w:rPr>
              <w:t xml:space="preserve">nischen Anlage, der Abwasserinaktivierungsanlage und </w:t>
            </w:r>
            <w:proofErr w:type="gramStart"/>
            <w:r w:rsidRPr="004C49D2">
              <w:rPr>
                <w:rFonts w:asciiTheme="minorHAnsi" w:hAnsiTheme="minorHAnsi" w:cstheme="minorHAnsi"/>
                <w:sz w:val="22"/>
                <w:szCs w:val="22"/>
              </w:rPr>
              <w:t>des Autoklaven</w:t>
            </w:r>
            <w:proofErr w:type="gramEnd"/>
            <w:r w:rsidRPr="004C49D2">
              <w:rPr>
                <w:rFonts w:asciiTheme="minorHAnsi" w:hAnsiTheme="minorHAnsi" w:cstheme="minorHAnsi"/>
                <w:sz w:val="22"/>
                <w:szCs w:val="22"/>
              </w:rPr>
              <w:t>, ist das Vorgehen bei Wartungen und Störungen mit zu berücksichtigen. Dabei sollte auf leichte Zugänglichkeit – wenn möglich von außerhalb des Schutzstufenbereichs – geachtet werden.</w:t>
            </w:r>
          </w:p>
        </w:tc>
        <w:sdt>
          <w:sdtPr>
            <w:rPr>
              <w:rFonts w:cstheme="minorHAnsi"/>
            </w:rPr>
            <w:id w:val="-376237527"/>
            <w14:checkbox>
              <w14:checked w14:val="0"/>
              <w14:checkedState w14:val="2612" w14:font="MS Gothic"/>
              <w14:uncheckedState w14:val="2610" w14:font="MS Gothic"/>
            </w14:checkbox>
          </w:sdtPr>
          <w:sdtContent>
            <w:tc>
              <w:tcPr>
                <w:tcW w:w="425" w:type="dxa"/>
                <w:vAlign w:val="center"/>
              </w:tcPr>
              <w:p w14:paraId="2540578F"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41891807"/>
            <w14:checkbox>
              <w14:checked w14:val="0"/>
              <w14:checkedState w14:val="2612" w14:font="MS Gothic"/>
              <w14:uncheckedState w14:val="2610" w14:font="MS Gothic"/>
            </w14:checkbox>
          </w:sdtPr>
          <w:sdtContent>
            <w:tc>
              <w:tcPr>
                <w:tcW w:w="425" w:type="dxa"/>
                <w:vAlign w:val="center"/>
              </w:tcPr>
              <w:p w14:paraId="306BC1AC"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421BEBCD" w14:textId="77777777" w:rsidR="00BF3E44" w:rsidRPr="004C49D2" w:rsidRDefault="00BF3E44" w:rsidP="00BF3E44">
            <w:pPr>
              <w:jc w:val="center"/>
              <w:rPr>
                <w:rFonts w:cstheme="minorHAnsi"/>
              </w:rPr>
            </w:pPr>
          </w:p>
        </w:tc>
      </w:tr>
      <w:tr w:rsidR="00BF3E44" w:rsidRPr="004C49D2" w14:paraId="4822F72D" w14:textId="77777777" w:rsidTr="00BF3E44">
        <w:trPr>
          <w:gridAfter w:val="1"/>
          <w:wAfter w:w="6" w:type="dxa"/>
        </w:trPr>
        <w:tc>
          <w:tcPr>
            <w:tcW w:w="9493" w:type="dxa"/>
            <w:shd w:val="clear" w:color="auto" w:fill="auto"/>
            <w:vAlign w:val="center"/>
          </w:tcPr>
          <w:p w14:paraId="13E6E940" w14:textId="77777777" w:rsidR="00BF3E44" w:rsidRDefault="00BF3E44" w:rsidP="000A1425">
            <w:pPr>
              <w:pStyle w:val="Default"/>
              <w:rPr>
                <w:rFonts w:asciiTheme="minorHAnsi" w:hAnsiTheme="minorHAnsi" w:cstheme="minorHAnsi"/>
                <w:sz w:val="22"/>
                <w:szCs w:val="22"/>
              </w:rPr>
            </w:pPr>
            <w:r w:rsidRPr="000A1425">
              <w:rPr>
                <w:rFonts w:asciiTheme="minorHAnsi" w:hAnsiTheme="minorHAnsi" w:cstheme="minorHAnsi"/>
                <w:b/>
                <w:sz w:val="22"/>
                <w:szCs w:val="22"/>
              </w:rPr>
              <w:t>(11)</w:t>
            </w:r>
            <w:r w:rsidRPr="004C49D2">
              <w:rPr>
                <w:rFonts w:asciiTheme="minorHAnsi" w:hAnsiTheme="minorHAnsi" w:cstheme="minorHAnsi"/>
                <w:sz w:val="22"/>
                <w:szCs w:val="22"/>
              </w:rPr>
              <w:t xml:space="preserve"> </w:t>
            </w:r>
            <w:r w:rsidRPr="000A1425">
              <w:rPr>
                <w:rFonts w:asciiTheme="minorHAnsi" w:hAnsiTheme="minorHAnsi" w:cstheme="minorHAnsi"/>
                <w:b/>
                <w:sz w:val="22"/>
                <w:szCs w:val="22"/>
              </w:rPr>
              <w:t>Abdichtung Räume:</w:t>
            </w:r>
          </w:p>
          <w:p w14:paraId="4D33E284" w14:textId="51A0764B" w:rsidR="00BF3E44" w:rsidRPr="004C49D2" w:rsidRDefault="00BF3E44" w:rsidP="000A1425">
            <w:pPr>
              <w:pStyle w:val="Default"/>
              <w:rPr>
                <w:rFonts w:asciiTheme="minorHAnsi" w:hAnsiTheme="minorHAnsi" w:cstheme="minorHAnsi"/>
                <w:sz w:val="22"/>
                <w:szCs w:val="22"/>
              </w:rPr>
            </w:pPr>
            <w:r w:rsidRPr="004C49D2">
              <w:rPr>
                <w:rFonts w:asciiTheme="minorHAnsi" w:hAnsiTheme="minorHAnsi" w:cstheme="minorHAnsi"/>
                <w:sz w:val="22"/>
                <w:szCs w:val="22"/>
              </w:rPr>
              <w:t>Die Räume des Schutzstufenbereichs sowie des kontaminierten Teils der raumlufttechnischen Anlage bis einschließlich der ersten HEPA-Filterstufe müssen zum Zweck der Begasung abdichtbar sein.</w:t>
            </w:r>
          </w:p>
        </w:tc>
        <w:sdt>
          <w:sdtPr>
            <w:rPr>
              <w:rFonts w:cstheme="minorHAnsi"/>
            </w:rPr>
            <w:id w:val="109702580"/>
            <w14:checkbox>
              <w14:checked w14:val="0"/>
              <w14:checkedState w14:val="2612" w14:font="MS Gothic"/>
              <w14:uncheckedState w14:val="2610" w14:font="MS Gothic"/>
            </w14:checkbox>
          </w:sdtPr>
          <w:sdtContent>
            <w:tc>
              <w:tcPr>
                <w:tcW w:w="425" w:type="dxa"/>
                <w:vAlign w:val="center"/>
              </w:tcPr>
              <w:p w14:paraId="5A85BD5D"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889789279"/>
            <w14:checkbox>
              <w14:checked w14:val="0"/>
              <w14:checkedState w14:val="2612" w14:font="MS Gothic"/>
              <w14:uncheckedState w14:val="2610" w14:font="MS Gothic"/>
            </w14:checkbox>
          </w:sdtPr>
          <w:sdtContent>
            <w:tc>
              <w:tcPr>
                <w:tcW w:w="425" w:type="dxa"/>
                <w:vAlign w:val="center"/>
              </w:tcPr>
              <w:p w14:paraId="57BE89B3"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271412D3" w14:textId="77777777" w:rsidR="00BF3E44" w:rsidRPr="004C49D2" w:rsidRDefault="00BF3E44" w:rsidP="00BF3E44">
            <w:pPr>
              <w:jc w:val="center"/>
              <w:rPr>
                <w:rFonts w:cstheme="minorHAnsi"/>
              </w:rPr>
            </w:pPr>
          </w:p>
        </w:tc>
      </w:tr>
      <w:tr w:rsidR="00BF3E44" w:rsidRPr="004C49D2" w14:paraId="73975B70" w14:textId="77777777" w:rsidTr="00BF3E44">
        <w:trPr>
          <w:gridAfter w:val="1"/>
          <w:wAfter w:w="6" w:type="dxa"/>
        </w:trPr>
        <w:tc>
          <w:tcPr>
            <w:tcW w:w="9493" w:type="dxa"/>
            <w:shd w:val="clear" w:color="auto" w:fill="auto"/>
            <w:vAlign w:val="center"/>
          </w:tcPr>
          <w:p w14:paraId="007160FA" w14:textId="77777777" w:rsidR="00BF3E44" w:rsidRPr="004C49D2" w:rsidRDefault="00BF3E44" w:rsidP="004C49D2">
            <w:pPr>
              <w:pStyle w:val="Default"/>
              <w:rPr>
                <w:rFonts w:asciiTheme="minorHAnsi" w:hAnsiTheme="minorHAnsi" w:cstheme="minorHAnsi"/>
                <w:sz w:val="22"/>
                <w:szCs w:val="22"/>
              </w:rPr>
            </w:pPr>
            <w:r w:rsidRPr="000A1425">
              <w:rPr>
                <w:rFonts w:asciiTheme="minorHAnsi" w:hAnsiTheme="minorHAnsi" w:cstheme="minorHAnsi"/>
                <w:b/>
                <w:sz w:val="22"/>
                <w:szCs w:val="22"/>
              </w:rPr>
              <w:t>(12) Oberflächen</w:t>
            </w:r>
            <w:r w:rsidRPr="004C49D2">
              <w:rPr>
                <w:rFonts w:asciiTheme="minorHAnsi" w:hAnsiTheme="minorHAnsi" w:cstheme="minorHAnsi"/>
                <w:sz w:val="22"/>
                <w:szCs w:val="22"/>
              </w:rPr>
              <w:t xml:space="preserve"> (Arbeitsflächen, Wände und Fußböden) m</w:t>
            </w:r>
            <w:r>
              <w:rPr>
                <w:rFonts w:asciiTheme="minorHAnsi" w:hAnsiTheme="minorHAnsi" w:cstheme="minorHAnsi"/>
                <w:sz w:val="22"/>
                <w:szCs w:val="22"/>
              </w:rPr>
              <w:t>üssen möglichst fugen</w:t>
            </w:r>
            <w:r w:rsidRPr="004C49D2">
              <w:rPr>
                <w:rFonts w:asciiTheme="minorHAnsi" w:hAnsiTheme="minorHAnsi" w:cstheme="minorHAnsi"/>
                <w:sz w:val="22"/>
                <w:szCs w:val="22"/>
              </w:rPr>
              <w:t xml:space="preserve">los sowie wasserundurchlässig, leicht zu reinigen </w:t>
            </w:r>
            <w:r>
              <w:rPr>
                <w:rFonts w:asciiTheme="minorHAnsi" w:hAnsiTheme="minorHAnsi" w:cstheme="minorHAnsi"/>
                <w:sz w:val="22"/>
                <w:szCs w:val="22"/>
              </w:rPr>
              <w:t>und beständig gegenüber den ein</w:t>
            </w:r>
            <w:r w:rsidRPr="004C49D2">
              <w:rPr>
                <w:rFonts w:asciiTheme="minorHAnsi" w:hAnsiTheme="minorHAnsi" w:cstheme="minorHAnsi"/>
                <w:sz w:val="22"/>
                <w:szCs w:val="22"/>
              </w:rPr>
              <w:t xml:space="preserve">gesetzten Desinfektionsmitteln, Begasungsmitteln und sonstigen Chemikalien sein. </w:t>
            </w:r>
          </w:p>
          <w:p w14:paraId="18A21251" w14:textId="77777777" w:rsidR="00BF3E44" w:rsidRPr="004C49D2" w:rsidRDefault="00BF3E44" w:rsidP="004C49D2">
            <w:pPr>
              <w:pStyle w:val="Default"/>
              <w:rPr>
                <w:rFonts w:asciiTheme="minorHAnsi" w:hAnsiTheme="minorHAnsi" w:cstheme="minorHAnsi"/>
                <w:sz w:val="22"/>
                <w:szCs w:val="22"/>
              </w:rPr>
            </w:pPr>
            <w:r w:rsidRPr="004C49D2">
              <w:rPr>
                <w:rFonts w:asciiTheme="minorHAnsi" w:hAnsiTheme="minorHAnsi" w:cstheme="minorHAnsi"/>
                <w:b/>
                <w:bCs/>
                <w:i/>
                <w:iCs/>
                <w:sz w:val="22"/>
                <w:szCs w:val="22"/>
              </w:rPr>
              <w:t xml:space="preserve">Hinweis: </w:t>
            </w:r>
            <w:r w:rsidRPr="004C49D2">
              <w:rPr>
                <w:rFonts w:asciiTheme="minorHAnsi" w:hAnsiTheme="minorHAnsi" w:cstheme="minorHAnsi"/>
                <w:i/>
                <w:iCs/>
                <w:sz w:val="22"/>
                <w:szCs w:val="22"/>
              </w:rPr>
              <w:t>Der Fußboden ist in der Regel mit Hohlkehle in einer Wannenfu</w:t>
            </w:r>
            <w:r>
              <w:rPr>
                <w:rFonts w:asciiTheme="minorHAnsi" w:hAnsiTheme="minorHAnsi" w:cstheme="minorHAnsi"/>
                <w:i/>
                <w:iCs/>
                <w:sz w:val="22"/>
                <w:szCs w:val="22"/>
              </w:rPr>
              <w:t>nktion auszufüh</w:t>
            </w:r>
            <w:r w:rsidRPr="004C49D2">
              <w:rPr>
                <w:rFonts w:asciiTheme="minorHAnsi" w:hAnsiTheme="minorHAnsi" w:cstheme="minorHAnsi"/>
                <w:i/>
                <w:iCs/>
                <w:sz w:val="22"/>
                <w:szCs w:val="22"/>
              </w:rPr>
              <w:t>ren. Die Übergänge festinstallierter Möbel zum Fußbode</w:t>
            </w:r>
            <w:r>
              <w:rPr>
                <w:rFonts w:asciiTheme="minorHAnsi" w:hAnsiTheme="minorHAnsi" w:cstheme="minorHAnsi"/>
                <w:i/>
                <w:iCs/>
                <w:sz w:val="22"/>
                <w:szCs w:val="22"/>
              </w:rPr>
              <w:t>n bzw. zur Wand müssen abgedich</w:t>
            </w:r>
            <w:r w:rsidRPr="004C49D2">
              <w:rPr>
                <w:rFonts w:asciiTheme="minorHAnsi" w:hAnsiTheme="minorHAnsi" w:cstheme="minorHAnsi"/>
                <w:i/>
                <w:iCs/>
                <w:sz w:val="22"/>
                <w:szCs w:val="22"/>
              </w:rPr>
              <w:t>tet sein.</w:t>
            </w:r>
          </w:p>
        </w:tc>
        <w:sdt>
          <w:sdtPr>
            <w:rPr>
              <w:rFonts w:cstheme="minorHAnsi"/>
            </w:rPr>
            <w:id w:val="552278479"/>
            <w14:checkbox>
              <w14:checked w14:val="0"/>
              <w14:checkedState w14:val="2612" w14:font="MS Gothic"/>
              <w14:uncheckedState w14:val="2610" w14:font="MS Gothic"/>
            </w14:checkbox>
          </w:sdtPr>
          <w:sdtContent>
            <w:tc>
              <w:tcPr>
                <w:tcW w:w="425" w:type="dxa"/>
                <w:vAlign w:val="center"/>
              </w:tcPr>
              <w:p w14:paraId="1CA56972"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2020350269"/>
            <w14:checkbox>
              <w14:checked w14:val="0"/>
              <w14:checkedState w14:val="2612" w14:font="MS Gothic"/>
              <w14:uncheckedState w14:val="2610" w14:font="MS Gothic"/>
            </w14:checkbox>
          </w:sdtPr>
          <w:sdtContent>
            <w:tc>
              <w:tcPr>
                <w:tcW w:w="425" w:type="dxa"/>
                <w:vAlign w:val="center"/>
              </w:tcPr>
              <w:p w14:paraId="10CB0C5A"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62B5CD71" w14:textId="77777777" w:rsidR="00BF3E44" w:rsidRPr="004C49D2" w:rsidRDefault="00BF3E44" w:rsidP="00BF3E44">
            <w:pPr>
              <w:jc w:val="center"/>
              <w:rPr>
                <w:rFonts w:cstheme="minorHAnsi"/>
              </w:rPr>
            </w:pPr>
          </w:p>
        </w:tc>
      </w:tr>
      <w:tr w:rsidR="00BF3E44" w:rsidRPr="004C49D2" w14:paraId="3FDA838D" w14:textId="77777777" w:rsidTr="00BF3E44">
        <w:trPr>
          <w:gridAfter w:val="1"/>
          <w:wAfter w:w="6" w:type="dxa"/>
        </w:trPr>
        <w:tc>
          <w:tcPr>
            <w:tcW w:w="9493" w:type="dxa"/>
            <w:shd w:val="clear" w:color="auto" w:fill="auto"/>
            <w:vAlign w:val="center"/>
          </w:tcPr>
          <w:p w14:paraId="109BCD67" w14:textId="77777777" w:rsidR="00BF3E44" w:rsidRPr="004C49D2" w:rsidRDefault="00BF3E44" w:rsidP="004C49D2">
            <w:pPr>
              <w:pStyle w:val="Default"/>
              <w:rPr>
                <w:rFonts w:asciiTheme="minorHAnsi" w:hAnsiTheme="minorHAnsi" w:cstheme="minorHAnsi"/>
                <w:sz w:val="22"/>
                <w:szCs w:val="22"/>
              </w:rPr>
            </w:pPr>
            <w:r w:rsidRPr="000A1425">
              <w:rPr>
                <w:rFonts w:asciiTheme="minorHAnsi" w:hAnsiTheme="minorHAnsi" w:cstheme="minorHAnsi"/>
                <w:b/>
                <w:sz w:val="22"/>
                <w:szCs w:val="22"/>
              </w:rPr>
              <w:lastRenderedPageBreak/>
              <w:t>(13) Oberflächen von Geräten und Apparaten</w:t>
            </w:r>
            <w:r w:rsidRPr="004C49D2">
              <w:rPr>
                <w:rFonts w:asciiTheme="minorHAnsi" w:hAnsiTheme="minorHAnsi" w:cstheme="minorHAnsi"/>
                <w:sz w:val="22"/>
                <w:szCs w:val="22"/>
              </w:rPr>
              <w:t>, die mit biologischen Arbeitsstoffen in Kontakt kommen können, sollen leicht zu dekontaminieren und zu reinigen sein.</w:t>
            </w:r>
          </w:p>
        </w:tc>
        <w:sdt>
          <w:sdtPr>
            <w:rPr>
              <w:rFonts w:cstheme="minorHAnsi"/>
            </w:rPr>
            <w:id w:val="-617060269"/>
            <w14:checkbox>
              <w14:checked w14:val="0"/>
              <w14:checkedState w14:val="2612" w14:font="MS Gothic"/>
              <w14:uncheckedState w14:val="2610" w14:font="MS Gothic"/>
            </w14:checkbox>
          </w:sdtPr>
          <w:sdtContent>
            <w:tc>
              <w:tcPr>
                <w:tcW w:w="425" w:type="dxa"/>
                <w:vAlign w:val="center"/>
              </w:tcPr>
              <w:p w14:paraId="4423A9AE"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2061011395"/>
            <w14:checkbox>
              <w14:checked w14:val="0"/>
              <w14:checkedState w14:val="2612" w14:font="MS Gothic"/>
              <w14:uncheckedState w14:val="2610" w14:font="MS Gothic"/>
            </w14:checkbox>
          </w:sdtPr>
          <w:sdtContent>
            <w:tc>
              <w:tcPr>
                <w:tcW w:w="425" w:type="dxa"/>
                <w:vAlign w:val="center"/>
              </w:tcPr>
              <w:p w14:paraId="27315A12"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1542D462" w14:textId="77777777" w:rsidR="00BF3E44" w:rsidRPr="004C49D2" w:rsidRDefault="00BF3E44" w:rsidP="00BF3E44">
            <w:pPr>
              <w:jc w:val="center"/>
              <w:rPr>
                <w:rFonts w:cstheme="minorHAnsi"/>
              </w:rPr>
            </w:pPr>
          </w:p>
        </w:tc>
      </w:tr>
      <w:tr w:rsidR="00BF3E44" w:rsidRPr="004C49D2" w14:paraId="0C189F5C" w14:textId="77777777" w:rsidTr="00BF3E44">
        <w:trPr>
          <w:gridAfter w:val="1"/>
          <w:wAfter w:w="6" w:type="dxa"/>
        </w:trPr>
        <w:tc>
          <w:tcPr>
            <w:tcW w:w="9493" w:type="dxa"/>
            <w:shd w:val="clear" w:color="auto" w:fill="auto"/>
            <w:vAlign w:val="center"/>
          </w:tcPr>
          <w:p w14:paraId="08FE4C37" w14:textId="390F2CFE" w:rsidR="00BF3E44" w:rsidRPr="000A1425" w:rsidRDefault="00BF3E44" w:rsidP="004C49D2">
            <w:pPr>
              <w:pStyle w:val="Default"/>
              <w:rPr>
                <w:rFonts w:asciiTheme="minorHAnsi" w:hAnsiTheme="minorHAnsi" w:cstheme="minorHAnsi"/>
                <w:b/>
                <w:sz w:val="22"/>
                <w:szCs w:val="22"/>
              </w:rPr>
            </w:pPr>
            <w:r w:rsidRPr="000A1425">
              <w:rPr>
                <w:rFonts w:asciiTheme="minorHAnsi" w:hAnsiTheme="minorHAnsi" w:cstheme="minorHAnsi"/>
                <w:b/>
                <w:sz w:val="22"/>
                <w:szCs w:val="22"/>
              </w:rPr>
              <w:t>(14) Aerosolschutz:</w:t>
            </w:r>
          </w:p>
          <w:p w14:paraId="3CF58ACB" w14:textId="663B38C8" w:rsidR="00BF3E44" w:rsidRPr="004C49D2" w:rsidRDefault="00BF3E44" w:rsidP="004C49D2">
            <w:pPr>
              <w:pStyle w:val="Default"/>
              <w:rPr>
                <w:rFonts w:asciiTheme="minorHAnsi" w:hAnsiTheme="minorHAnsi" w:cstheme="minorHAnsi"/>
                <w:sz w:val="22"/>
                <w:szCs w:val="22"/>
              </w:rPr>
            </w:pPr>
            <w:r w:rsidRPr="004C49D2">
              <w:rPr>
                <w:rFonts w:asciiTheme="minorHAnsi" w:hAnsiTheme="minorHAnsi" w:cstheme="minorHAnsi"/>
                <w:sz w:val="22"/>
                <w:szCs w:val="22"/>
              </w:rPr>
              <w:t>Es sind Geräte einzusetzen, die keine Bioaerosol</w:t>
            </w:r>
            <w:r>
              <w:rPr>
                <w:rFonts w:asciiTheme="minorHAnsi" w:hAnsiTheme="minorHAnsi" w:cstheme="minorHAnsi"/>
                <w:sz w:val="22"/>
                <w:szCs w:val="22"/>
              </w:rPr>
              <w:t>e freisetzen, wie z.B. Zentrifu</w:t>
            </w:r>
            <w:r w:rsidRPr="004C49D2">
              <w:rPr>
                <w:rFonts w:asciiTheme="minorHAnsi" w:hAnsiTheme="minorHAnsi" w:cstheme="minorHAnsi"/>
                <w:sz w:val="22"/>
                <w:szCs w:val="22"/>
              </w:rPr>
              <w:t xml:space="preserve">gen mit aerosoldichten Rotoren oder </w:t>
            </w:r>
            <w:proofErr w:type="spellStart"/>
            <w:r w:rsidRPr="004C49D2">
              <w:rPr>
                <w:rFonts w:asciiTheme="minorHAnsi" w:hAnsiTheme="minorHAnsi" w:cstheme="minorHAnsi"/>
                <w:sz w:val="22"/>
                <w:szCs w:val="22"/>
              </w:rPr>
              <w:t>Zentrifugenbechern</w:t>
            </w:r>
            <w:proofErr w:type="spellEnd"/>
            <w:r w:rsidRPr="004C49D2">
              <w:rPr>
                <w:rFonts w:asciiTheme="minorHAnsi" w:hAnsiTheme="minorHAnsi" w:cstheme="minorHAnsi"/>
                <w:sz w:val="22"/>
                <w:szCs w:val="22"/>
              </w:rPr>
              <w:t>. Nicht aerosoldichte Geräte können ggf. in einer MSW eingesetzt werden oder aber, bei großen Geräten, in einer gleichwertigen physikalischen Sicherheitseinrichtun</w:t>
            </w:r>
            <w:r>
              <w:rPr>
                <w:rFonts w:asciiTheme="minorHAnsi" w:hAnsiTheme="minorHAnsi" w:cstheme="minorHAnsi"/>
                <w:sz w:val="22"/>
                <w:szCs w:val="22"/>
              </w:rPr>
              <w:t>g. In beiden Fällen muss gewähr</w:t>
            </w:r>
            <w:r w:rsidRPr="004C49D2">
              <w:rPr>
                <w:rFonts w:asciiTheme="minorHAnsi" w:hAnsiTheme="minorHAnsi" w:cstheme="minorHAnsi"/>
                <w:sz w:val="22"/>
                <w:szCs w:val="22"/>
              </w:rPr>
              <w:t>leistet sein, dass die Schutzeigenschaften der jeweiligen Sicherheitseinrichtung nicht beeinträchtigt werden.</w:t>
            </w:r>
          </w:p>
        </w:tc>
        <w:sdt>
          <w:sdtPr>
            <w:rPr>
              <w:rFonts w:cstheme="minorHAnsi"/>
            </w:rPr>
            <w:id w:val="-28563453"/>
            <w14:checkbox>
              <w14:checked w14:val="0"/>
              <w14:checkedState w14:val="2612" w14:font="MS Gothic"/>
              <w14:uncheckedState w14:val="2610" w14:font="MS Gothic"/>
            </w14:checkbox>
          </w:sdtPr>
          <w:sdtContent>
            <w:tc>
              <w:tcPr>
                <w:tcW w:w="425" w:type="dxa"/>
                <w:vAlign w:val="center"/>
              </w:tcPr>
              <w:p w14:paraId="32DA6E08"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249392108"/>
            <w14:checkbox>
              <w14:checked w14:val="0"/>
              <w14:checkedState w14:val="2612" w14:font="MS Gothic"/>
              <w14:uncheckedState w14:val="2610" w14:font="MS Gothic"/>
            </w14:checkbox>
          </w:sdtPr>
          <w:sdtContent>
            <w:tc>
              <w:tcPr>
                <w:tcW w:w="425" w:type="dxa"/>
                <w:vAlign w:val="center"/>
              </w:tcPr>
              <w:p w14:paraId="00BBEC0C"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79A362F7" w14:textId="77777777" w:rsidR="00BF3E44" w:rsidRPr="004C49D2" w:rsidRDefault="00BF3E44" w:rsidP="00BF3E44">
            <w:pPr>
              <w:jc w:val="center"/>
              <w:rPr>
                <w:rFonts w:cstheme="minorHAnsi"/>
              </w:rPr>
            </w:pPr>
          </w:p>
        </w:tc>
      </w:tr>
      <w:tr w:rsidR="00BF3E44" w:rsidRPr="004C49D2" w14:paraId="0F0E6D56" w14:textId="77777777" w:rsidTr="00BF3E44">
        <w:trPr>
          <w:gridAfter w:val="1"/>
          <w:wAfter w:w="6" w:type="dxa"/>
        </w:trPr>
        <w:tc>
          <w:tcPr>
            <w:tcW w:w="9493" w:type="dxa"/>
            <w:shd w:val="clear" w:color="auto" w:fill="auto"/>
            <w:vAlign w:val="center"/>
          </w:tcPr>
          <w:p w14:paraId="27A64931" w14:textId="77777777" w:rsidR="00BF3E44" w:rsidRPr="004C49D2" w:rsidRDefault="00BF3E44" w:rsidP="004C49D2">
            <w:pPr>
              <w:pStyle w:val="Default"/>
              <w:rPr>
                <w:rFonts w:asciiTheme="minorHAnsi" w:hAnsiTheme="minorHAnsi" w:cstheme="minorHAnsi"/>
                <w:sz w:val="22"/>
                <w:szCs w:val="22"/>
              </w:rPr>
            </w:pPr>
            <w:r w:rsidRPr="000A1425">
              <w:rPr>
                <w:rFonts w:asciiTheme="minorHAnsi" w:hAnsiTheme="minorHAnsi" w:cstheme="minorHAnsi"/>
                <w:b/>
                <w:sz w:val="22"/>
                <w:szCs w:val="22"/>
              </w:rPr>
              <w:t>(15) Sichtverbindungen</w:t>
            </w:r>
            <w:r w:rsidRPr="004C49D2">
              <w:rPr>
                <w:rFonts w:asciiTheme="minorHAnsi" w:hAnsiTheme="minorHAnsi" w:cstheme="minorHAnsi"/>
                <w:sz w:val="22"/>
                <w:szCs w:val="22"/>
              </w:rPr>
              <w:t xml:space="preserve"> nach außen müssen dicht und dürfen nicht zu öffnen sein.</w:t>
            </w:r>
          </w:p>
        </w:tc>
        <w:sdt>
          <w:sdtPr>
            <w:rPr>
              <w:rFonts w:cstheme="minorHAnsi"/>
            </w:rPr>
            <w:id w:val="1260953815"/>
            <w14:checkbox>
              <w14:checked w14:val="0"/>
              <w14:checkedState w14:val="2612" w14:font="MS Gothic"/>
              <w14:uncheckedState w14:val="2610" w14:font="MS Gothic"/>
            </w14:checkbox>
          </w:sdtPr>
          <w:sdtContent>
            <w:tc>
              <w:tcPr>
                <w:tcW w:w="425" w:type="dxa"/>
                <w:vAlign w:val="center"/>
              </w:tcPr>
              <w:p w14:paraId="31529C31"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940605602"/>
            <w14:checkbox>
              <w14:checked w14:val="0"/>
              <w14:checkedState w14:val="2612" w14:font="MS Gothic"/>
              <w14:uncheckedState w14:val="2610" w14:font="MS Gothic"/>
            </w14:checkbox>
          </w:sdtPr>
          <w:sdtContent>
            <w:tc>
              <w:tcPr>
                <w:tcW w:w="425" w:type="dxa"/>
                <w:vAlign w:val="center"/>
              </w:tcPr>
              <w:p w14:paraId="493ED0E7"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186C553B" w14:textId="77777777" w:rsidR="00BF3E44" w:rsidRPr="004C49D2" w:rsidRDefault="00BF3E44" w:rsidP="00BF3E44">
            <w:pPr>
              <w:jc w:val="center"/>
              <w:rPr>
                <w:rFonts w:cstheme="minorHAnsi"/>
              </w:rPr>
            </w:pPr>
          </w:p>
        </w:tc>
      </w:tr>
      <w:tr w:rsidR="00BF3E44" w:rsidRPr="004C49D2" w14:paraId="3A80306F" w14:textId="77777777" w:rsidTr="00BF3E44">
        <w:trPr>
          <w:gridAfter w:val="1"/>
          <w:wAfter w:w="6" w:type="dxa"/>
        </w:trPr>
        <w:tc>
          <w:tcPr>
            <w:tcW w:w="9493" w:type="dxa"/>
            <w:shd w:val="clear" w:color="auto" w:fill="auto"/>
            <w:vAlign w:val="center"/>
          </w:tcPr>
          <w:p w14:paraId="12287F04" w14:textId="77777777" w:rsidR="00BF3E44" w:rsidRPr="000A1425" w:rsidRDefault="00BF3E44" w:rsidP="004C49D2">
            <w:pPr>
              <w:pStyle w:val="Default"/>
              <w:rPr>
                <w:rFonts w:asciiTheme="minorHAnsi" w:hAnsiTheme="minorHAnsi" w:cstheme="minorHAnsi"/>
                <w:b/>
                <w:sz w:val="22"/>
                <w:szCs w:val="22"/>
              </w:rPr>
            </w:pPr>
            <w:r w:rsidRPr="000A1425">
              <w:rPr>
                <w:rFonts w:asciiTheme="minorHAnsi" w:hAnsiTheme="minorHAnsi" w:cstheme="minorHAnsi"/>
                <w:b/>
                <w:sz w:val="22"/>
                <w:szCs w:val="22"/>
              </w:rPr>
              <w:t>(16) Türen:</w:t>
            </w:r>
          </w:p>
          <w:p w14:paraId="378538DC" w14:textId="46785A2E" w:rsidR="00BF3E44" w:rsidRPr="004C49D2" w:rsidRDefault="00BF3E44" w:rsidP="004C49D2">
            <w:pPr>
              <w:pStyle w:val="Default"/>
              <w:rPr>
                <w:rFonts w:asciiTheme="minorHAnsi" w:hAnsiTheme="minorHAnsi" w:cstheme="minorHAnsi"/>
                <w:sz w:val="22"/>
                <w:szCs w:val="22"/>
              </w:rPr>
            </w:pPr>
            <w:r w:rsidRPr="004C49D2">
              <w:rPr>
                <w:rFonts w:asciiTheme="minorHAnsi" w:hAnsiTheme="minorHAnsi" w:cstheme="minorHAnsi"/>
                <w:sz w:val="22"/>
                <w:szCs w:val="22"/>
              </w:rPr>
              <w:t>Sind im Schutzstufenbereich mehrere Laboratorien vorhanden, so müssen auch deren Türen mit Sichtfenster ausgestattet sein und in Fluchtrichtung aufschlagen.</w:t>
            </w:r>
          </w:p>
        </w:tc>
        <w:sdt>
          <w:sdtPr>
            <w:rPr>
              <w:rFonts w:cstheme="minorHAnsi"/>
            </w:rPr>
            <w:id w:val="59831311"/>
            <w14:checkbox>
              <w14:checked w14:val="0"/>
              <w14:checkedState w14:val="2612" w14:font="MS Gothic"/>
              <w14:uncheckedState w14:val="2610" w14:font="MS Gothic"/>
            </w14:checkbox>
          </w:sdtPr>
          <w:sdtContent>
            <w:tc>
              <w:tcPr>
                <w:tcW w:w="425" w:type="dxa"/>
                <w:vAlign w:val="center"/>
              </w:tcPr>
              <w:p w14:paraId="0CE327BE"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252622886"/>
            <w14:checkbox>
              <w14:checked w14:val="0"/>
              <w14:checkedState w14:val="2612" w14:font="MS Gothic"/>
              <w14:uncheckedState w14:val="2610" w14:font="MS Gothic"/>
            </w14:checkbox>
          </w:sdtPr>
          <w:sdtContent>
            <w:tc>
              <w:tcPr>
                <w:tcW w:w="425" w:type="dxa"/>
                <w:vAlign w:val="center"/>
              </w:tcPr>
              <w:p w14:paraId="01785302"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45E9EEEF" w14:textId="77777777" w:rsidR="00BF3E44" w:rsidRPr="004C49D2" w:rsidRDefault="00BF3E44" w:rsidP="00BF3E44">
            <w:pPr>
              <w:jc w:val="center"/>
              <w:rPr>
                <w:rFonts w:cstheme="minorHAnsi"/>
              </w:rPr>
            </w:pPr>
          </w:p>
        </w:tc>
      </w:tr>
      <w:tr w:rsidR="00BF3E44" w:rsidRPr="004C49D2" w14:paraId="5E856FC9" w14:textId="77777777" w:rsidTr="00BF3E44">
        <w:trPr>
          <w:gridAfter w:val="1"/>
          <w:wAfter w:w="6" w:type="dxa"/>
        </w:trPr>
        <w:tc>
          <w:tcPr>
            <w:tcW w:w="9493" w:type="dxa"/>
            <w:shd w:val="clear" w:color="auto" w:fill="auto"/>
            <w:vAlign w:val="center"/>
          </w:tcPr>
          <w:p w14:paraId="1B84675D" w14:textId="77777777" w:rsidR="00BF3E44" w:rsidRPr="000A1425" w:rsidRDefault="00BF3E44" w:rsidP="004C49D2">
            <w:pPr>
              <w:pStyle w:val="Listenabsatz"/>
              <w:ind w:left="0"/>
              <w:rPr>
                <w:rFonts w:cstheme="minorHAnsi"/>
                <w:b/>
              </w:rPr>
            </w:pPr>
            <w:r w:rsidRPr="000A1425">
              <w:rPr>
                <w:rFonts w:cstheme="minorHAnsi"/>
                <w:b/>
              </w:rPr>
              <w:t>(17) Personenschutz:</w:t>
            </w:r>
          </w:p>
          <w:p w14:paraId="62CEEB56" w14:textId="350BA9F8" w:rsidR="00BF3E44" w:rsidRPr="004C49D2" w:rsidRDefault="00BF3E44" w:rsidP="004C49D2">
            <w:pPr>
              <w:pStyle w:val="Listenabsatz"/>
              <w:ind w:left="0"/>
              <w:rPr>
                <w:rFonts w:cstheme="minorHAnsi"/>
              </w:rPr>
            </w:pPr>
            <w:r w:rsidRPr="004C49D2">
              <w:rPr>
                <w:rFonts w:cstheme="minorHAnsi"/>
              </w:rPr>
              <w:t>Ein Sichtfenster oder eine vergleichbare Vor</w:t>
            </w:r>
            <w:r>
              <w:rPr>
                <w:rFonts w:cstheme="minorHAnsi"/>
              </w:rPr>
              <w:t>richtung zur Einsicht in den Ar</w:t>
            </w:r>
            <w:r w:rsidRPr="004C49D2">
              <w:rPr>
                <w:rFonts w:cstheme="minorHAnsi"/>
              </w:rPr>
              <w:t>beitsbereich sind zum Personenschutz erforderlich.</w:t>
            </w:r>
          </w:p>
        </w:tc>
        <w:sdt>
          <w:sdtPr>
            <w:rPr>
              <w:rFonts w:cstheme="minorHAnsi"/>
            </w:rPr>
            <w:id w:val="-2087053609"/>
            <w14:checkbox>
              <w14:checked w14:val="0"/>
              <w14:checkedState w14:val="2612" w14:font="MS Gothic"/>
              <w14:uncheckedState w14:val="2610" w14:font="MS Gothic"/>
            </w14:checkbox>
          </w:sdtPr>
          <w:sdtContent>
            <w:tc>
              <w:tcPr>
                <w:tcW w:w="425" w:type="dxa"/>
                <w:vAlign w:val="center"/>
              </w:tcPr>
              <w:p w14:paraId="37273A5A"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927232216"/>
            <w14:checkbox>
              <w14:checked w14:val="0"/>
              <w14:checkedState w14:val="2612" w14:font="MS Gothic"/>
              <w14:uncheckedState w14:val="2610" w14:font="MS Gothic"/>
            </w14:checkbox>
          </w:sdtPr>
          <w:sdtContent>
            <w:tc>
              <w:tcPr>
                <w:tcW w:w="425" w:type="dxa"/>
                <w:vAlign w:val="center"/>
              </w:tcPr>
              <w:p w14:paraId="76F66F0D"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4D9EC201" w14:textId="77777777" w:rsidR="00BF3E44" w:rsidRPr="004C49D2" w:rsidRDefault="00BF3E44" w:rsidP="00BF3E44">
            <w:pPr>
              <w:jc w:val="center"/>
              <w:rPr>
                <w:rFonts w:cstheme="minorHAnsi"/>
              </w:rPr>
            </w:pPr>
          </w:p>
        </w:tc>
      </w:tr>
      <w:tr w:rsidR="00BF3E44" w:rsidRPr="004C49D2" w14:paraId="72E5E1DA" w14:textId="77777777" w:rsidTr="00BF3E44">
        <w:trPr>
          <w:gridAfter w:val="1"/>
          <w:wAfter w:w="6" w:type="dxa"/>
        </w:trPr>
        <w:tc>
          <w:tcPr>
            <w:tcW w:w="9493" w:type="dxa"/>
            <w:shd w:val="clear" w:color="auto" w:fill="auto"/>
            <w:vAlign w:val="center"/>
          </w:tcPr>
          <w:p w14:paraId="2EED7AEE" w14:textId="77777777" w:rsidR="00BF3E44" w:rsidRPr="000A1425" w:rsidRDefault="00BF3E44" w:rsidP="004C49D2">
            <w:pPr>
              <w:pStyle w:val="Listenabsatz"/>
              <w:ind w:left="0"/>
              <w:rPr>
                <w:rFonts w:cstheme="minorHAnsi"/>
                <w:b/>
              </w:rPr>
            </w:pPr>
            <w:r w:rsidRPr="000A1425">
              <w:rPr>
                <w:rFonts w:cstheme="minorHAnsi"/>
                <w:b/>
              </w:rPr>
              <w:t>(18) Kommunikation:</w:t>
            </w:r>
          </w:p>
          <w:p w14:paraId="401E608A" w14:textId="7A44729A" w:rsidR="00BF3E44" w:rsidRPr="004C49D2" w:rsidRDefault="00BF3E44" w:rsidP="004C49D2">
            <w:pPr>
              <w:pStyle w:val="Listenabsatz"/>
              <w:ind w:left="0"/>
              <w:rPr>
                <w:rFonts w:cstheme="minorHAnsi"/>
              </w:rPr>
            </w:pPr>
            <w:r w:rsidRPr="004C49D2">
              <w:rPr>
                <w:rFonts w:cstheme="minorHAnsi"/>
              </w:rPr>
              <w:t>Für die Kommunikation zwischen Labor und</w:t>
            </w:r>
            <w:r>
              <w:rPr>
                <w:rFonts w:cstheme="minorHAnsi"/>
              </w:rPr>
              <w:t xml:space="preserve"> Außenbereich muss eine geeigne</w:t>
            </w:r>
            <w:r w:rsidRPr="004C49D2">
              <w:rPr>
                <w:rFonts w:cstheme="minorHAnsi"/>
              </w:rPr>
              <w:t>te Einrichtung vorhanden sein. Insbesondere bei Alleinarbeit ist eine von innen zu betätigende Notrufeinrichtung oder eine vergleichbare Vorrichtung erforderlich.</w:t>
            </w:r>
          </w:p>
        </w:tc>
        <w:sdt>
          <w:sdtPr>
            <w:rPr>
              <w:rFonts w:cstheme="minorHAnsi"/>
            </w:rPr>
            <w:id w:val="555592498"/>
            <w14:checkbox>
              <w14:checked w14:val="0"/>
              <w14:checkedState w14:val="2612" w14:font="MS Gothic"/>
              <w14:uncheckedState w14:val="2610" w14:font="MS Gothic"/>
            </w14:checkbox>
          </w:sdtPr>
          <w:sdtContent>
            <w:tc>
              <w:tcPr>
                <w:tcW w:w="425" w:type="dxa"/>
                <w:vAlign w:val="center"/>
              </w:tcPr>
              <w:p w14:paraId="686A64E6"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284729619"/>
            <w14:checkbox>
              <w14:checked w14:val="0"/>
              <w14:checkedState w14:val="2612" w14:font="MS Gothic"/>
              <w14:uncheckedState w14:val="2610" w14:font="MS Gothic"/>
            </w14:checkbox>
          </w:sdtPr>
          <w:sdtContent>
            <w:tc>
              <w:tcPr>
                <w:tcW w:w="425" w:type="dxa"/>
                <w:vAlign w:val="center"/>
              </w:tcPr>
              <w:p w14:paraId="54ADB26E"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587DF326" w14:textId="77777777" w:rsidR="00BF3E44" w:rsidRPr="004C49D2" w:rsidRDefault="00BF3E44" w:rsidP="00BF3E44">
            <w:pPr>
              <w:jc w:val="center"/>
              <w:rPr>
                <w:rFonts w:cstheme="minorHAnsi"/>
              </w:rPr>
            </w:pPr>
          </w:p>
        </w:tc>
      </w:tr>
      <w:tr w:rsidR="00BF3E44" w:rsidRPr="004C49D2" w14:paraId="2E853149" w14:textId="77777777" w:rsidTr="00BF3E44">
        <w:trPr>
          <w:gridAfter w:val="1"/>
          <w:wAfter w:w="6" w:type="dxa"/>
        </w:trPr>
        <w:tc>
          <w:tcPr>
            <w:tcW w:w="9493" w:type="dxa"/>
            <w:shd w:val="clear" w:color="auto" w:fill="auto"/>
            <w:vAlign w:val="center"/>
          </w:tcPr>
          <w:p w14:paraId="36C3CBE9" w14:textId="77777777" w:rsidR="00BF3E44" w:rsidRDefault="00BF3E44" w:rsidP="004C49D2">
            <w:pPr>
              <w:pStyle w:val="Listenabsatz"/>
              <w:ind w:left="0"/>
              <w:rPr>
                <w:rFonts w:cstheme="minorHAnsi"/>
              </w:rPr>
            </w:pPr>
            <w:r w:rsidRPr="000A1425">
              <w:rPr>
                <w:rFonts w:cstheme="minorHAnsi"/>
                <w:b/>
              </w:rPr>
              <w:t>(19)</w:t>
            </w:r>
            <w:r w:rsidRPr="004C49D2">
              <w:rPr>
                <w:rFonts w:cstheme="minorHAnsi"/>
              </w:rPr>
              <w:t xml:space="preserve"> </w:t>
            </w:r>
            <w:r w:rsidRPr="000A1425">
              <w:rPr>
                <w:rFonts w:cstheme="minorHAnsi"/>
                <w:b/>
              </w:rPr>
              <w:t>Ausrüstung:</w:t>
            </w:r>
          </w:p>
          <w:p w14:paraId="78165B5B" w14:textId="549016B4" w:rsidR="00BF3E44" w:rsidRPr="004C49D2" w:rsidRDefault="00BF3E44" w:rsidP="004C49D2">
            <w:pPr>
              <w:pStyle w:val="Listenabsatz"/>
              <w:ind w:left="0"/>
              <w:rPr>
                <w:rFonts w:cstheme="minorHAnsi"/>
              </w:rPr>
            </w:pPr>
            <w:r w:rsidRPr="004C49D2">
              <w:rPr>
                <w:rFonts w:cstheme="minorHAnsi"/>
              </w:rPr>
              <w:t>Der Schutzstufenbereich muss über eine eigene Ausrüstung verfügen.</w:t>
            </w:r>
          </w:p>
        </w:tc>
        <w:sdt>
          <w:sdtPr>
            <w:rPr>
              <w:rFonts w:cstheme="minorHAnsi"/>
            </w:rPr>
            <w:id w:val="478192318"/>
            <w14:checkbox>
              <w14:checked w14:val="0"/>
              <w14:checkedState w14:val="2612" w14:font="MS Gothic"/>
              <w14:uncheckedState w14:val="2610" w14:font="MS Gothic"/>
            </w14:checkbox>
          </w:sdtPr>
          <w:sdtContent>
            <w:tc>
              <w:tcPr>
                <w:tcW w:w="425" w:type="dxa"/>
                <w:vAlign w:val="center"/>
              </w:tcPr>
              <w:p w14:paraId="0CBBB94F"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563938560"/>
            <w14:checkbox>
              <w14:checked w14:val="0"/>
              <w14:checkedState w14:val="2612" w14:font="MS Gothic"/>
              <w14:uncheckedState w14:val="2610" w14:font="MS Gothic"/>
            </w14:checkbox>
          </w:sdtPr>
          <w:sdtContent>
            <w:tc>
              <w:tcPr>
                <w:tcW w:w="425" w:type="dxa"/>
                <w:vAlign w:val="center"/>
              </w:tcPr>
              <w:p w14:paraId="18C0B9EF"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6EA0EBDB" w14:textId="77777777" w:rsidR="00BF3E44" w:rsidRPr="004C49D2" w:rsidRDefault="00BF3E44" w:rsidP="00BF3E44">
            <w:pPr>
              <w:jc w:val="center"/>
              <w:rPr>
                <w:rFonts w:cstheme="minorHAnsi"/>
              </w:rPr>
            </w:pPr>
          </w:p>
        </w:tc>
      </w:tr>
      <w:tr w:rsidR="00BF3E44" w:rsidRPr="004C49D2" w14:paraId="1620022F" w14:textId="77777777" w:rsidTr="00BF3E44">
        <w:trPr>
          <w:gridAfter w:val="1"/>
          <w:wAfter w:w="6" w:type="dxa"/>
        </w:trPr>
        <w:tc>
          <w:tcPr>
            <w:tcW w:w="9493" w:type="dxa"/>
            <w:shd w:val="clear" w:color="auto" w:fill="auto"/>
            <w:vAlign w:val="center"/>
          </w:tcPr>
          <w:p w14:paraId="00FCF248" w14:textId="77777777" w:rsidR="00BF3E44" w:rsidRPr="000A1425" w:rsidRDefault="00BF3E44" w:rsidP="00AB3386">
            <w:pPr>
              <w:pStyle w:val="Listenabsatz"/>
              <w:keepNext/>
              <w:keepLines/>
              <w:ind w:left="0"/>
              <w:rPr>
                <w:rFonts w:cstheme="minorHAnsi"/>
                <w:b/>
              </w:rPr>
            </w:pPr>
            <w:r w:rsidRPr="000A1425">
              <w:rPr>
                <w:rFonts w:cstheme="minorHAnsi"/>
                <w:b/>
              </w:rPr>
              <w:lastRenderedPageBreak/>
              <w:t>(20) Personendusche:</w:t>
            </w:r>
          </w:p>
          <w:p w14:paraId="46C099C2" w14:textId="08FA2F80" w:rsidR="00BF3E44" w:rsidRPr="004C49D2" w:rsidRDefault="00BF3E44" w:rsidP="00AB3386">
            <w:pPr>
              <w:pStyle w:val="Listenabsatz"/>
              <w:keepNext/>
              <w:keepLines/>
              <w:ind w:left="0"/>
              <w:rPr>
                <w:rFonts w:cstheme="minorHAnsi"/>
              </w:rPr>
            </w:pPr>
            <w:r w:rsidRPr="004C49D2">
              <w:rPr>
                <w:rFonts w:cstheme="minorHAnsi"/>
              </w:rPr>
              <w:t>Ergibt die Gefährdungsbeurteilung z.B. bei Tätig</w:t>
            </w:r>
            <w:r>
              <w:rPr>
                <w:rFonts w:cstheme="minorHAnsi"/>
              </w:rPr>
              <w:t>keiten mit sehr leicht übertrag</w:t>
            </w:r>
            <w:r w:rsidRPr="004C49D2">
              <w:rPr>
                <w:rFonts w:cstheme="minorHAnsi"/>
              </w:rPr>
              <w:t xml:space="preserve">baren biologischen Arbeitsstoffen der Risikogruppe 3, dass auch durch das Ablegen der persönlichen Schutzausrüstung eine Gefährdung der Beschäftigten bzw. eine Verschleppung der biologischen Arbeitsstoffe in andere Bereiche nicht zuverlässig verhindert werden kann, ist eine Personendusche im </w:t>
            </w:r>
            <w:r>
              <w:rPr>
                <w:rFonts w:cstheme="minorHAnsi"/>
              </w:rPr>
              <w:t>Schleusenbereich baulich ein</w:t>
            </w:r>
            <w:r w:rsidRPr="004C49D2">
              <w:rPr>
                <w:rFonts w:cstheme="minorHAnsi"/>
              </w:rPr>
              <w:t>zuplanen (z.B. als zweite innere Schleusenkamme</w:t>
            </w:r>
            <w:r>
              <w:rPr>
                <w:rFonts w:cstheme="minorHAnsi"/>
              </w:rPr>
              <w:t>r). Das Duschwasser ist wie kon</w:t>
            </w:r>
            <w:r w:rsidRPr="004C49D2">
              <w:rPr>
                <w:rFonts w:cstheme="minorHAnsi"/>
              </w:rPr>
              <w:t>taminiertes Abwasser zu behandeln.</w:t>
            </w:r>
          </w:p>
        </w:tc>
        <w:sdt>
          <w:sdtPr>
            <w:rPr>
              <w:rFonts w:cstheme="minorHAnsi"/>
            </w:rPr>
            <w:id w:val="1704508826"/>
            <w14:checkbox>
              <w14:checked w14:val="0"/>
              <w14:checkedState w14:val="2612" w14:font="MS Gothic"/>
              <w14:uncheckedState w14:val="2610" w14:font="MS Gothic"/>
            </w14:checkbox>
          </w:sdtPr>
          <w:sdtContent>
            <w:tc>
              <w:tcPr>
                <w:tcW w:w="425" w:type="dxa"/>
                <w:vAlign w:val="center"/>
              </w:tcPr>
              <w:p w14:paraId="65D771F4"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866408792"/>
            <w14:checkbox>
              <w14:checked w14:val="0"/>
              <w14:checkedState w14:val="2612" w14:font="MS Gothic"/>
              <w14:uncheckedState w14:val="2610" w14:font="MS Gothic"/>
            </w14:checkbox>
          </w:sdtPr>
          <w:sdtContent>
            <w:tc>
              <w:tcPr>
                <w:tcW w:w="425" w:type="dxa"/>
                <w:vAlign w:val="center"/>
              </w:tcPr>
              <w:p w14:paraId="153B8C9D"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6E10D09D" w14:textId="77777777" w:rsidR="00BF3E44" w:rsidRPr="004C49D2" w:rsidRDefault="00BF3E44" w:rsidP="00BF3E44">
            <w:pPr>
              <w:keepNext/>
              <w:keepLines/>
              <w:jc w:val="center"/>
              <w:rPr>
                <w:rFonts w:cstheme="minorHAnsi"/>
              </w:rPr>
            </w:pPr>
          </w:p>
        </w:tc>
      </w:tr>
      <w:tr w:rsidR="00BF3E44" w:rsidRPr="004C49D2" w14:paraId="0D8D779E" w14:textId="77777777" w:rsidTr="00BF3E44">
        <w:trPr>
          <w:gridAfter w:val="1"/>
          <w:wAfter w:w="6" w:type="dxa"/>
        </w:trPr>
        <w:tc>
          <w:tcPr>
            <w:tcW w:w="9493" w:type="dxa"/>
            <w:shd w:val="clear" w:color="auto" w:fill="D9D9D9" w:themeFill="background1" w:themeFillShade="D9"/>
            <w:vAlign w:val="center"/>
          </w:tcPr>
          <w:p w14:paraId="65009552" w14:textId="77777777" w:rsidR="00BF3E44" w:rsidRPr="004C49D2" w:rsidRDefault="00BF3E44" w:rsidP="004C49D2">
            <w:pPr>
              <w:pStyle w:val="Listenabsatz"/>
              <w:ind w:left="0"/>
              <w:rPr>
                <w:rFonts w:cstheme="minorHAnsi"/>
                <w:b/>
              </w:rPr>
            </w:pPr>
            <w:r w:rsidRPr="004C49D2">
              <w:rPr>
                <w:rFonts w:cstheme="minorHAnsi"/>
                <w:b/>
              </w:rPr>
              <w:t>Organisatorische Schutzmaßnahmen</w:t>
            </w:r>
          </w:p>
        </w:tc>
        <w:tc>
          <w:tcPr>
            <w:tcW w:w="425" w:type="dxa"/>
            <w:shd w:val="clear" w:color="auto" w:fill="D9D9D9" w:themeFill="background1" w:themeFillShade="D9"/>
            <w:vAlign w:val="center"/>
          </w:tcPr>
          <w:p w14:paraId="626D593B" w14:textId="77777777" w:rsidR="00BF3E44" w:rsidRPr="004C49D2" w:rsidRDefault="00BF3E44" w:rsidP="00BF3E44">
            <w:pPr>
              <w:jc w:val="center"/>
              <w:rPr>
                <w:rFonts w:cstheme="minorHAnsi"/>
                <w:b/>
              </w:rPr>
            </w:pPr>
          </w:p>
        </w:tc>
        <w:tc>
          <w:tcPr>
            <w:tcW w:w="425" w:type="dxa"/>
            <w:shd w:val="clear" w:color="auto" w:fill="D9D9D9" w:themeFill="background1" w:themeFillShade="D9"/>
            <w:vAlign w:val="center"/>
          </w:tcPr>
          <w:p w14:paraId="18052299" w14:textId="77777777" w:rsidR="00BF3E44" w:rsidRPr="004C49D2" w:rsidRDefault="00BF3E44" w:rsidP="00BF3E44">
            <w:pPr>
              <w:jc w:val="center"/>
              <w:rPr>
                <w:rFonts w:cstheme="minorHAnsi"/>
                <w:b/>
              </w:rPr>
            </w:pPr>
          </w:p>
        </w:tc>
        <w:tc>
          <w:tcPr>
            <w:tcW w:w="2947" w:type="dxa"/>
            <w:gridSpan w:val="2"/>
            <w:shd w:val="clear" w:color="auto" w:fill="D9D9D9" w:themeFill="background1" w:themeFillShade="D9"/>
            <w:vAlign w:val="center"/>
          </w:tcPr>
          <w:p w14:paraId="479A8281" w14:textId="77777777" w:rsidR="00BF3E44" w:rsidRPr="004C49D2" w:rsidRDefault="00BF3E44" w:rsidP="00BF3E44">
            <w:pPr>
              <w:jc w:val="center"/>
              <w:rPr>
                <w:rFonts w:cstheme="minorHAnsi"/>
                <w:b/>
              </w:rPr>
            </w:pPr>
          </w:p>
        </w:tc>
      </w:tr>
      <w:tr w:rsidR="00BF3E44" w:rsidRPr="004C49D2" w14:paraId="2AD2C0BC" w14:textId="77777777" w:rsidTr="00BF3E44">
        <w:trPr>
          <w:gridAfter w:val="1"/>
          <w:wAfter w:w="6" w:type="dxa"/>
        </w:trPr>
        <w:tc>
          <w:tcPr>
            <w:tcW w:w="9493" w:type="dxa"/>
          </w:tcPr>
          <w:p w14:paraId="6EE4C672" w14:textId="647104F9" w:rsidR="00BF3E44" w:rsidRPr="007D24D6" w:rsidRDefault="00BF3E44" w:rsidP="00A70AA2">
            <w:pPr>
              <w:pStyle w:val="Listenabsatz"/>
              <w:ind w:left="0"/>
              <w:rPr>
                <w:b/>
                <w:color w:val="000000" w:themeColor="text1"/>
              </w:rPr>
            </w:pPr>
            <w:r w:rsidRPr="007D24D6">
              <w:rPr>
                <w:b/>
                <w:color w:val="000000" w:themeColor="text1"/>
              </w:rPr>
              <w:t>Betriebsanweisung</w:t>
            </w:r>
            <w:r>
              <w:rPr>
                <w:b/>
                <w:color w:val="000000" w:themeColor="text1"/>
              </w:rPr>
              <w:t xml:space="preserve"> (TRBA 100, 5.1 (6))</w:t>
            </w:r>
            <w:r w:rsidRPr="007D24D6">
              <w:rPr>
                <w:b/>
                <w:color w:val="000000" w:themeColor="text1"/>
              </w:rPr>
              <w:t>:</w:t>
            </w:r>
          </w:p>
          <w:p w14:paraId="226C4CF2" w14:textId="7EF5F8CA" w:rsidR="00BF3E44" w:rsidRPr="004C49D2" w:rsidRDefault="00BF3E44" w:rsidP="00A70AA2">
            <w:pPr>
              <w:pStyle w:val="Listenabsatz"/>
              <w:ind w:left="0"/>
              <w:rPr>
                <w:rFonts w:cstheme="minorHAnsi"/>
              </w:rPr>
            </w:pPr>
            <w:r w:rsidRPr="00642210">
              <w:rPr>
                <w:color w:val="000000" w:themeColor="text1"/>
              </w:rPr>
              <w:t xml:space="preserve">Die </w:t>
            </w:r>
            <w:r>
              <w:rPr>
                <w:color w:val="000000" w:themeColor="text1"/>
              </w:rPr>
              <w:t xml:space="preserve">auftretenden Gefährdungen, dadurch </w:t>
            </w:r>
            <w:r w:rsidRPr="00642210">
              <w:rPr>
                <w:color w:val="000000" w:themeColor="text1"/>
              </w:rPr>
              <w:t xml:space="preserve">erforderlichen Schutzmaßnahmen sowie Anweisungen </w:t>
            </w:r>
            <w:r>
              <w:rPr>
                <w:color w:val="000000" w:themeColor="text1"/>
              </w:rPr>
              <w:t xml:space="preserve">über das Verhalten bei Unfällen, zur Ersten Hilfe und Entsorgung sind in einer </w:t>
            </w:r>
            <w:r w:rsidRPr="007D24D6">
              <w:rPr>
                <w:color w:val="000000" w:themeColor="text1"/>
              </w:rPr>
              <w:t>Biostoff-Betriebsanweisung</w:t>
            </w:r>
            <w:r>
              <w:rPr>
                <w:color w:val="000000" w:themeColor="text1"/>
              </w:rPr>
              <w:t xml:space="preserve"> gem. §14 </w:t>
            </w:r>
            <w:proofErr w:type="spellStart"/>
            <w:r>
              <w:rPr>
                <w:color w:val="000000" w:themeColor="text1"/>
              </w:rPr>
              <w:t>BiostoffV</w:t>
            </w:r>
            <w:proofErr w:type="spellEnd"/>
            <w:r>
              <w:rPr>
                <w:color w:val="000000" w:themeColor="text1"/>
              </w:rPr>
              <w:t xml:space="preserve"> </w:t>
            </w:r>
            <w:r w:rsidRPr="00642210">
              <w:rPr>
                <w:color w:val="000000" w:themeColor="text1"/>
              </w:rPr>
              <w:t>fest</w:t>
            </w:r>
            <w:r>
              <w:rPr>
                <w:color w:val="000000" w:themeColor="text1"/>
              </w:rPr>
              <w:t xml:space="preserve">zulegen. </w:t>
            </w:r>
          </w:p>
        </w:tc>
        <w:sdt>
          <w:sdtPr>
            <w:rPr>
              <w:rFonts w:cstheme="minorHAnsi"/>
            </w:rPr>
            <w:id w:val="-1373458981"/>
            <w14:checkbox>
              <w14:checked w14:val="0"/>
              <w14:checkedState w14:val="2612" w14:font="MS Gothic"/>
              <w14:uncheckedState w14:val="2610" w14:font="MS Gothic"/>
            </w14:checkbox>
          </w:sdtPr>
          <w:sdtContent>
            <w:tc>
              <w:tcPr>
                <w:tcW w:w="425" w:type="dxa"/>
                <w:vAlign w:val="center"/>
              </w:tcPr>
              <w:p w14:paraId="2FD0B662"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509255071"/>
            <w14:checkbox>
              <w14:checked w14:val="0"/>
              <w14:checkedState w14:val="2612" w14:font="MS Gothic"/>
              <w14:uncheckedState w14:val="2610" w14:font="MS Gothic"/>
            </w14:checkbox>
          </w:sdtPr>
          <w:sdtContent>
            <w:tc>
              <w:tcPr>
                <w:tcW w:w="425" w:type="dxa"/>
                <w:vAlign w:val="center"/>
              </w:tcPr>
              <w:p w14:paraId="74F1989A"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vAlign w:val="center"/>
          </w:tcPr>
          <w:p w14:paraId="68088B3E" w14:textId="77777777" w:rsidR="00BF3E44" w:rsidRPr="004C49D2" w:rsidRDefault="00BF3E44" w:rsidP="00BF3E44">
            <w:pPr>
              <w:jc w:val="center"/>
              <w:rPr>
                <w:rFonts w:cstheme="minorHAnsi"/>
              </w:rPr>
            </w:pPr>
          </w:p>
        </w:tc>
      </w:tr>
      <w:tr w:rsidR="00BF3E44" w:rsidRPr="004C49D2" w14:paraId="5BC84C3E" w14:textId="77777777" w:rsidTr="00BF3E44">
        <w:trPr>
          <w:gridAfter w:val="1"/>
          <w:wAfter w:w="6" w:type="dxa"/>
        </w:trPr>
        <w:tc>
          <w:tcPr>
            <w:tcW w:w="9493" w:type="dxa"/>
          </w:tcPr>
          <w:p w14:paraId="551419DF" w14:textId="0F46D4D6" w:rsidR="00BF3E44" w:rsidRPr="007158F7" w:rsidRDefault="00BF3E44" w:rsidP="00A70AA2">
            <w:pPr>
              <w:pStyle w:val="Listenabsatz"/>
              <w:keepNext/>
              <w:keepLines/>
              <w:ind w:left="0"/>
              <w:rPr>
                <w:rFonts w:cstheme="minorHAnsi"/>
                <w:b/>
              </w:rPr>
            </w:pPr>
            <w:r>
              <w:rPr>
                <w:rFonts w:cstheme="minorHAnsi"/>
                <w:b/>
              </w:rPr>
              <w:t>Hygieneplan (TRBA 100, 5.1 (5)):</w:t>
            </w:r>
          </w:p>
          <w:p w14:paraId="7F3158CC" w14:textId="77777777" w:rsidR="00BF3E44" w:rsidRDefault="00BF3E44" w:rsidP="00A70AA2">
            <w:pPr>
              <w:keepNext/>
              <w:keepLines/>
              <w:jc w:val="both"/>
            </w:pPr>
            <w:r w:rsidRPr="00CB1CD7">
              <w:t xml:space="preserve">Die betrieblichen Hygienemaßnahmen </w:t>
            </w:r>
            <w:r>
              <w:t xml:space="preserve">(inkl. Hautschutz) </w:t>
            </w:r>
            <w:r w:rsidRPr="00CB1CD7">
              <w:t>sind bei Tätigkeiten mit sensibilisierend oder toxisch wirkenden biologischen Arbeitsstoffen sowie bei Tätigkeiten in der Schutzstufe 2 und höher in einem Hygieneplan festzuhalten. Die speziellen Reinigungs- und Dekontaminationsverfahren sind dabei zu präzisieren. Der Hygieneplan ist in geeignete</w:t>
            </w:r>
            <w:r>
              <w:t>r Weise bekannt zu machen [Aushang]</w:t>
            </w:r>
            <w:r w:rsidRPr="00CB1CD7">
              <w:t>. Seine Einhaltung ist zu kontrollieren.</w:t>
            </w:r>
          </w:p>
          <w:p w14:paraId="232893AE" w14:textId="77777777" w:rsidR="00BF3E44" w:rsidRPr="004C49D2" w:rsidRDefault="00BF3E44" w:rsidP="00A70AA2">
            <w:pPr>
              <w:pStyle w:val="Listenabsatz"/>
              <w:keepNext/>
              <w:keepLines/>
              <w:ind w:left="0"/>
              <w:rPr>
                <w:rFonts w:cstheme="minorHAnsi"/>
              </w:rPr>
            </w:pPr>
            <w:r>
              <w:t>[</w:t>
            </w:r>
            <w:r w:rsidRPr="00947B11">
              <w:t xml:space="preserve">Die Desinfektionsmittel sind </w:t>
            </w:r>
            <w:r>
              <w:t xml:space="preserve">auf Grundlage der VAH oder der RKI </w:t>
            </w:r>
            <w:r w:rsidRPr="00947B11">
              <w:t xml:space="preserve">Liste </w:t>
            </w:r>
            <w:r>
              <w:t xml:space="preserve">nach dem Erregerspektrum </w:t>
            </w:r>
            <w:r w:rsidRPr="00947B11">
              <w:t>auszuwählen.</w:t>
            </w:r>
            <w:r>
              <w:t xml:space="preserve"> Auf korrekte Einwirkzeiten achten!]</w:t>
            </w:r>
          </w:p>
        </w:tc>
        <w:sdt>
          <w:sdtPr>
            <w:rPr>
              <w:rFonts w:cstheme="minorHAnsi"/>
            </w:rPr>
            <w:id w:val="-105966900"/>
            <w14:checkbox>
              <w14:checked w14:val="0"/>
              <w14:checkedState w14:val="2612" w14:font="MS Gothic"/>
              <w14:uncheckedState w14:val="2610" w14:font="MS Gothic"/>
            </w14:checkbox>
          </w:sdtPr>
          <w:sdtContent>
            <w:tc>
              <w:tcPr>
                <w:tcW w:w="425" w:type="dxa"/>
                <w:vAlign w:val="center"/>
              </w:tcPr>
              <w:p w14:paraId="66B64091" w14:textId="64195839"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678929984"/>
            <w14:checkbox>
              <w14:checked w14:val="0"/>
              <w14:checkedState w14:val="2612" w14:font="MS Gothic"/>
              <w14:uncheckedState w14:val="2610" w14:font="MS Gothic"/>
            </w14:checkbox>
          </w:sdtPr>
          <w:sdtContent>
            <w:tc>
              <w:tcPr>
                <w:tcW w:w="425" w:type="dxa"/>
                <w:vAlign w:val="center"/>
              </w:tcPr>
              <w:p w14:paraId="78D7EA04"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vAlign w:val="center"/>
          </w:tcPr>
          <w:p w14:paraId="529C9335" w14:textId="77777777" w:rsidR="00BF3E44" w:rsidRPr="004C49D2" w:rsidRDefault="00BF3E44" w:rsidP="00BF3E44">
            <w:pPr>
              <w:keepNext/>
              <w:keepLines/>
              <w:jc w:val="center"/>
              <w:rPr>
                <w:rFonts w:cstheme="minorHAnsi"/>
              </w:rPr>
            </w:pPr>
          </w:p>
        </w:tc>
      </w:tr>
      <w:tr w:rsidR="00BF3E44" w:rsidRPr="004C49D2" w14:paraId="513BEEC9" w14:textId="77777777" w:rsidTr="00BF3E44">
        <w:trPr>
          <w:gridAfter w:val="1"/>
          <w:wAfter w:w="6" w:type="dxa"/>
        </w:trPr>
        <w:tc>
          <w:tcPr>
            <w:tcW w:w="9493" w:type="dxa"/>
            <w:shd w:val="clear" w:color="auto" w:fill="auto"/>
            <w:vAlign w:val="center"/>
          </w:tcPr>
          <w:p w14:paraId="75C8F4E3" w14:textId="1F926621" w:rsidR="00BF3E44" w:rsidRDefault="00BF3E44" w:rsidP="004C49D2">
            <w:pPr>
              <w:pStyle w:val="Listenabsatz"/>
              <w:ind w:left="0"/>
              <w:rPr>
                <w:rFonts w:cstheme="minorHAnsi"/>
                <w:b/>
              </w:rPr>
            </w:pPr>
            <w:r>
              <w:rPr>
                <w:rFonts w:cstheme="minorHAnsi"/>
                <w:b/>
              </w:rPr>
              <w:t>Unterweisung (TRBA 100, 5.1 (7)):</w:t>
            </w:r>
          </w:p>
          <w:p w14:paraId="1D39175C" w14:textId="2E152C2A" w:rsidR="00BF3E44" w:rsidRPr="00B33272" w:rsidRDefault="00BF3E44" w:rsidP="00B33272">
            <w:pPr>
              <w:pStyle w:val="Listenabsatz"/>
              <w:ind w:left="22"/>
              <w:rPr>
                <w:rFonts w:cstheme="minorHAnsi"/>
                <w:bCs/>
              </w:rPr>
            </w:pPr>
            <w:r w:rsidRPr="00B33272">
              <w:rPr>
                <w:rFonts w:cstheme="minorHAnsi"/>
                <w:bCs/>
              </w:rPr>
              <w:lastRenderedPageBreak/>
              <w:t>Alle in Laboratorien tätige Beschäftigte einschließlich der Beschäftigten von Fremdfirmen und sonstige Personen (z.B. Praktikanten) sind über die bei ihren Tätigkeiten mit biologischen Arbeitsstoffen auftretenden Gefährdungen und die erforderlichen Schutzmaßnahmen zu unterweisen. Dies hat vor Aufnahme und bei maß-geblichen Änderungen der Tätigkeiten und danach in regelmäßigen Abständen, mindestens jedoch jährlich, in mündlicher Weise und arbeitsplatzbezogen zu geschehen.</w:t>
            </w:r>
          </w:p>
          <w:p w14:paraId="3241EAB5" w14:textId="660113D0" w:rsidR="00BF3E44" w:rsidRPr="00B33272" w:rsidRDefault="00BF3E44" w:rsidP="00B33272">
            <w:pPr>
              <w:pStyle w:val="Listenabsatz"/>
              <w:ind w:left="22"/>
              <w:rPr>
                <w:rFonts w:cstheme="minorHAnsi"/>
                <w:bCs/>
              </w:rPr>
            </w:pPr>
            <w:r w:rsidRPr="00B33272">
              <w:rPr>
                <w:rFonts w:cstheme="minorHAnsi"/>
                <w:bCs/>
              </w:rPr>
              <w:t>Die Unterweisung erfolgt auf der Grundlage der Betriebsanweisung und der betrieblichen Hygienemaßnahmen (Hygieneplan). Inhalt und Zeitpunkt der Unterweisungen sind schriftlich festzuhalten und von den Unterwiesenen durch Unterschrift zu bestätigen.</w:t>
            </w:r>
          </w:p>
          <w:p w14:paraId="25D5E3C5" w14:textId="13F8C319" w:rsidR="00BF3E44" w:rsidRPr="00B33272" w:rsidRDefault="00BF3E44" w:rsidP="00B33272">
            <w:pPr>
              <w:pStyle w:val="Listenabsatz"/>
              <w:ind w:left="22"/>
              <w:rPr>
                <w:rFonts w:cstheme="minorHAnsi"/>
                <w:bCs/>
              </w:rPr>
            </w:pPr>
            <w:r w:rsidRPr="00B33272">
              <w:rPr>
                <w:rFonts w:cstheme="minorHAnsi"/>
                <w:bCs/>
              </w:rPr>
              <w:t>Die Unterweisung soll so gestaltet sein, dass das Sicherheitsbewusstsein der Beschäftigten gestärkt wird. Die Umsetzung der Unterweisungsinhalte ist zu kontrollieren.</w:t>
            </w:r>
          </w:p>
          <w:p w14:paraId="3D435E24" w14:textId="60FC4C02" w:rsidR="00BF3E44" w:rsidRPr="007158F7" w:rsidRDefault="00BF3E44" w:rsidP="00B33272">
            <w:pPr>
              <w:pStyle w:val="Listenabsatz"/>
              <w:ind w:left="22"/>
              <w:rPr>
                <w:rFonts w:cstheme="minorHAnsi"/>
                <w:b/>
              </w:rPr>
            </w:pPr>
            <w:r w:rsidRPr="00B33272">
              <w:rPr>
                <w:rFonts w:cstheme="minorHAnsi"/>
                <w:bCs/>
              </w:rPr>
              <w:t xml:space="preserve">Im Rahmen der Unterweisung soll auch eine allgemeine arbeitsmedizinische Beratung durchgeführt werden (siehe </w:t>
            </w:r>
            <w:r>
              <w:rPr>
                <w:rFonts w:cstheme="minorHAnsi"/>
                <w:bCs/>
              </w:rPr>
              <w:t xml:space="preserve">TRBA 100 </w:t>
            </w:r>
            <w:r w:rsidRPr="00B33272">
              <w:rPr>
                <w:rFonts w:cstheme="minorHAnsi"/>
                <w:bCs/>
              </w:rPr>
              <w:t>Nummer 6.1).</w:t>
            </w:r>
          </w:p>
        </w:tc>
        <w:sdt>
          <w:sdtPr>
            <w:rPr>
              <w:rFonts w:cstheme="minorHAnsi"/>
            </w:rPr>
            <w:id w:val="-874377298"/>
            <w14:checkbox>
              <w14:checked w14:val="0"/>
              <w14:checkedState w14:val="2612" w14:font="MS Gothic"/>
              <w14:uncheckedState w14:val="2610" w14:font="MS Gothic"/>
            </w14:checkbox>
          </w:sdtPr>
          <w:sdtContent>
            <w:tc>
              <w:tcPr>
                <w:tcW w:w="425" w:type="dxa"/>
                <w:vAlign w:val="center"/>
              </w:tcPr>
              <w:p w14:paraId="5C7F6E82" w14:textId="6E54549D" w:rsidR="00BF3E44"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293127318"/>
            <w14:checkbox>
              <w14:checked w14:val="0"/>
              <w14:checkedState w14:val="2612" w14:font="MS Gothic"/>
              <w14:uncheckedState w14:val="2610" w14:font="MS Gothic"/>
            </w14:checkbox>
          </w:sdtPr>
          <w:sdtContent>
            <w:tc>
              <w:tcPr>
                <w:tcW w:w="425" w:type="dxa"/>
                <w:vAlign w:val="center"/>
              </w:tcPr>
              <w:p w14:paraId="1FBF4C7E" w14:textId="1E1195C7" w:rsidR="00BF3E44" w:rsidRDefault="00BF3E44" w:rsidP="00BF3E44">
                <w:pPr>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035AE626" w14:textId="77777777" w:rsidR="00BF3E44" w:rsidRPr="004C49D2" w:rsidRDefault="00BF3E44" w:rsidP="00BF3E44">
            <w:pPr>
              <w:jc w:val="center"/>
              <w:rPr>
                <w:rFonts w:cstheme="minorHAnsi"/>
              </w:rPr>
            </w:pPr>
          </w:p>
        </w:tc>
      </w:tr>
      <w:tr w:rsidR="00BF3E44" w:rsidRPr="004C49D2" w14:paraId="2108BBDF" w14:textId="77777777" w:rsidTr="00BF3E44">
        <w:trPr>
          <w:gridAfter w:val="1"/>
          <w:wAfter w:w="6" w:type="dxa"/>
        </w:trPr>
        <w:tc>
          <w:tcPr>
            <w:tcW w:w="9493" w:type="dxa"/>
            <w:shd w:val="clear" w:color="auto" w:fill="auto"/>
            <w:vAlign w:val="center"/>
          </w:tcPr>
          <w:p w14:paraId="07329955" w14:textId="77777777" w:rsidR="00BF3E44" w:rsidRPr="007158F7" w:rsidRDefault="00BF3E44" w:rsidP="004C49D2">
            <w:pPr>
              <w:pStyle w:val="Listenabsatz"/>
              <w:ind w:left="0"/>
              <w:rPr>
                <w:rFonts w:cstheme="minorHAnsi"/>
                <w:b/>
              </w:rPr>
            </w:pPr>
            <w:r w:rsidRPr="007158F7">
              <w:rPr>
                <w:rFonts w:cstheme="minorHAnsi"/>
                <w:b/>
              </w:rPr>
              <w:t>(21) Fachkundiges Personal:</w:t>
            </w:r>
          </w:p>
          <w:p w14:paraId="3B30F672" w14:textId="259C8B20" w:rsidR="00BF3E44" w:rsidRPr="004C49D2" w:rsidRDefault="00BF3E44" w:rsidP="004C49D2">
            <w:pPr>
              <w:pStyle w:val="Listenabsatz"/>
              <w:ind w:left="0"/>
              <w:rPr>
                <w:rFonts w:cstheme="minorHAnsi"/>
              </w:rPr>
            </w:pPr>
            <w:r w:rsidRPr="004C49D2">
              <w:rPr>
                <w:rFonts w:cstheme="minorHAnsi"/>
              </w:rPr>
              <w:t xml:space="preserve"> Tätigkeiten in Laboratorien der Schutzstufe 3 dürfen nur von zuverlässigen und fachkundigen Beschäftigten ausgeübt werden.</w:t>
            </w:r>
            <w:r>
              <w:rPr>
                <w:rFonts w:cstheme="minorHAnsi"/>
              </w:rPr>
              <w:t xml:space="preserve"> Fachkunde Anforderungen siehe TRBA 200.</w:t>
            </w:r>
          </w:p>
        </w:tc>
        <w:sdt>
          <w:sdtPr>
            <w:rPr>
              <w:rFonts w:cstheme="minorHAnsi"/>
            </w:rPr>
            <w:id w:val="-1739771827"/>
            <w14:checkbox>
              <w14:checked w14:val="0"/>
              <w14:checkedState w14:val="2612" w14:font="MS Gothic"/>
              <w14:uncheckedState w14:val="2610" w14:font="MS Gothic"/>
            </w14:checkbox>
          </w:sdtPr>
          <w:sdtContent>
            <w:tc>
              <w:tcPr>
                <w:tcW w:w="425" w:type="dxa"/>
                <w:vAlign w:val="center"/>
              </w:tcPr>
              <w:p w14:paraId="606B3F77"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227795275"/>
            <w14:checkbox>
              <w14:checked w14:val="0"/>
              <w14:checkedState w14:val="2612" w14:font="MS Gothic"/>
              <w14:uncheckedState w14:val="2610" w14:font="MS Gothic"/>
            </w14:checkbox>
          </w:sdtPr>
          <w:sdtContent>
            <w:tc>
              <w:tcPr>
                <w:tcW w:w="425" w:type="dxa"/>
                <w:vAlign w:val="center"/>
              </w:tcPr>
              <w:p w14:paraId="0D6EA016"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6659E08F" w14:textId="77777777" w:rsidR="00BF3E44" w:rsidRPr="004C49D2" w:rsidRDefault="00BF3E44" w:rsidP="00BF3E44">
            <w:pPr>
              <w:jc w:val="center"/>
              <w:rPr>
                <w:rFonts w:cstheme="minorHAnsi"/>
              </w:rPr>
            </w:pPr>
          </w:p>
        </w:tc>
      </w:tr>
      <w:tr w:rsidR="00BF3E44" w:rsidRPr="004C49D2" w14:paraId="7D1CB868" w14:textId="77777777" w:rsidTr="00BF3E44">
        <w:trPr>
          <w:gridAfter w:val="1"/>
          <w:wAfter w:w="6" w:type="dxa"/>
        </w:trPr>
        <w:tc>
          <w:tcPr>
            <w:tcW w:w="9493" w:type="dxa"/>
            <w:shd w:val="clear" w:color="auto" w:fill="auto"/>
            <w:vAlign w:val="center"/>
          </w:tcPr>
          <w:p w14:paraId="671C1F65" w14:textId="77777777" w:rsidR="00BF3E44" w:rsidRPr="007158F7" w:rsidRDefault="00BF3E44" w:rsidP="00501A59">
            <w:pPr>
              <w:pStyle w:val="Listenabsatz"/>
              <w:keepNext/>
              <w:keepLines/>
              <w:ind w:left="0"/>
              <w:rPr>
                <w:rFonts w:cstheme="minorHAnsi"/>
                <w:b/>
              </w:rPr>
            </w:pPr>
            <w:r w:rsidRPr="007158F7">
              <w:rPr>
                <w:rFonts w:cstheme="minorHAnsi"/>
                <w:b/>
              </w:rPr>
              <w:t>(22) Kennzeichnung:</w:t>
            </w:r>
          </w:p>
          <w:p w14:paraId="3CED472C" w14:textId="77777777" w:rsidR="00BF3E44" w:rsidRPr="004C49D2" w:rsidRDefault="00BF3E44" w:rsidP="00501A59">
            <w:pPr>
              <w:pStyle w:val="Listenabsatz"/>
              <w:keepNext/>
              <w:keepLines/>
              <w:ind w:left="0"/>
              <w:rPr>
                <w:rFonts w:cstheme="minorHAnsi"/>
              </w:rPr>
            </w:pPr>
            <w:r w:rsidRPr="004C49D2">
              <w:rPr>
                <w:rFonts w:cstheme="minorHAnsi"/>
              </w:rPr>
              <w:t>Die Zugangstür zur Schleuse muss von außen deutlich und dauerhaft mit „Schutzstufe 3“, dem „Symbol für Biogefährdung“ un</w:t>
            </w:r>
            <w:r>
              <w:rPr>
                <w:rFonts w:cstheme="minorHAnsi"/>
              </w:rPr>
              <w:t>d einem Zutrittsverbot für Unbe</w:t>
            </w:r>
            <w:r w:rsidRPr="004C49D2">
              <w:rPr>
                <w:rFonts w:cstheme="minorHAnsi"/>
              </w:rPr>
              <w:t>fugte gekennzeichnet sein.</w:t>
            </w:r>
          </w:p>
        </w:tc>
        <w:sdt>
          <w:sdtPr>
            <w:rPr>
              <w:rFonts w:cstheme="minorHAnsi"/>
            </w:rPr>
            <w:id w:val="1182935919"/>
            <w14:checkbox>
              <w14:checked w14:val="0"/>
              <w14:checkedState w14:val="2612" w14:font="MS Gothic"/>
              <w14:uncheckedState w14:val="2610" w14:font="MS Gothic"/>
            </w14:checkbox>
          </w:sdtPr>
          <w:sdtContent>
            <w:tc>
              <w:tcPr>
                <w:tcW w:w="425" w:type="dxa"/>
                <w:vAlign w:val="center"/>
              </w:tcPr>
              <w:p w14:paraId="75D048E2"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796199347"/>
            <w14:checkbox>
              <w14:checked w14:val="0"/>
              <w14:checkedState w14:val="2612" w14:font="MS Gothic"/>
              <w14:uncheckedState w14:val="2610" w14:font="MS Gothic"/>
            </w14:checkbox>
          </w:sdtPr>
          <w:sdtContent>
            <w:tc>
              <w:tcPr>
                <w:tcW w:w="425" w:type="dxa"/>
                <w:vAlign w:val="center"/>
              </w:tcPr>
              <w:p w14:paraId="52890780"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6BAD943C" w14:textId="77777777" w:rsidR="00BF3E44" w:rsidRPr="004C49D2" w:rsidRDefault="00BF3E44" w:rsidP="00BF3E44">
            <w:pPr>
              <w:keepNext/>
              <w:keepLines/>
              <w:jc w:val="center"/>
              <w:rPr>
                <w:rFonts w:cstheme="minorHAnsi"/>
              </w:rPr>
            </w:pPr>
          </w:p>
        </w:tc>
      </w:tr>
      <w:tr w:rsidR="00BF3E44" w:rsidRPr="004C49D2" w14:paraId="6DCEB495" w14:textId="77777777" w:rsidTr="00BF3E44">
        <w:trPr>
          <w:gridAfter w:val="1"/>
          <w:wAfter w:w="6" w:type="dxa"/>
        </w:trPr>
        <w:tc>
          <w:tcPr>
            <w:tcW w:w="9493" w:type="dxa"/>
            <w:shd w:val="clear" w:color="auto" w:fill="auto"/>
            <w:vAlign w:val="center"/>
          </w:tcPr>
          <w:p w14:paraId="51DB5C4D" w14:textId="77777777" w:rsidR="00BF3E44" w:rsidRPr="007158F7" w:rsidRDefault="00BF3E44" w:rsidP="004C49D2">
            <w:pPr>
              <w:pStyle w:val="Listenabsatz"/>
              <w:ind w:left="0"/>
              <w:rPr>
                <w:rFonts w:cstheme="minorHAnsi"/>
                <w:b/>
              </w:rPr>
            </w:pPr>
            <w:r w:rsidRPr="007158F7">
              <w:rPr>
                <w:rFonts w:cstheme="minorHAnsi"/>
                <w:b/>
              </w:rPr>
              <w:t>(23) Zugangsbeschränkung:</w:t>
            </w:r>
          </w:p>
          <w:p w14:paraId="68675FCD" w14:textId="77777777" w:rsidR="00BF3E44" w:rsidRDefault="00BF3E44" w:rsidP="001B76B8">
            <w:pPr>
              <w:pStyle w:val="Listenabsatz"/>
              <w:numPr>
                <w:ilvl w:val="0"/>
                <w:numId w:val="45"/>
              </w:numPr>
              <w:ind w:left="447"/>
              <w:rPr>
                <w:rFonts w:cstheme="minorHAnsi"/>
              </w:rPr>
            </w:pPr>
            <w:r w:rsidRPr="001B76B8">
              <w:rPr>
                <w:rFonts w:cstheme="minorHAnsi"/>
              </w:rPr>
              <w:t>Der Zugang zum Schutzstufenbereich ist vom Verantwortlichen auf die Personen zu beschränken, die zur Durchführung der Tätigkeiten berechtigt sind. Eine Zugangskontrolle ist erforderlich. In begründeten Einzelfällen genehmigt der Verantwortliche den Zugang anderer Personen (z.B. Servicepersonal) unter fachkundiger Aufsicht.</w:t>
            </w:r>
          </w:p>
          <w:p w14:paraId="6D6E3568" w14:textId="3729445E" w:rsidR="00BF3E44" w:rsidRPr="004C49D2" w:rsidRDefault="00BF3E44" w:rsidP="001B76B8">
            <w:pPr>
              <w:pStyle w:val="Listenabsatz"/>
              <w:numPr>
                <w:ilvl w:val="0"/>
                <w:numId w:val="45"/>
              </w:numPr>
              <w:ind w:left="447"/>
              <w:rPr>
                <w:rFonts w:cstheme="minorHAnsi"/>
              </w:rPr>
            </w:pPr>
            <w:r>
              <w:rPr>
                <w:rFonts w:cstheme="minorHAnsi"/>
              </w:rPr>
              <w:lastRenderedPageBreak/>
              <w:t>D</w:t>
            </w:r>
            <w:r w:rsidRPr="001B76B8">
              <w:rPr>
                <w:rFonts w:cstheme="minorHAnsi"/>
              </w:rPr>
              <w:t>e</w:t>
            </w:r>
            <w:r>
              <w:rPr>
                <w:rFonts w:cstheme="minorHAnsi"/>
              </w:rPr>
              <w:t>r</w:t>
            </w:r>
            <w:r w:rsidRPr="001B76B8">
              <w:rPr>
                <w:rFonts w:cstheme="minorHAnsi"/>
              </w:rPr>
              <w:t xml:space="preserve"> Zugang zu Biostoffen der Risikogruppe 3 </w:t>
            </w:r>
            <w:r>
              <w:rPr>
                <w:rFonts w:cstheme="minorHAnsi"/>
              </w:rPr>
              <w:t xml:space="preserve">ist </w:t>
            </w:r>
            <w:r w:rsidRPr="001B76B8">
              <w:rPr>
                <w:rFonts w:cstheme="minorHAnsi"/>
              </w:rPr>
              <w:t>auf dazu berechtigte, fachkundige und zuverlässige</w:t>
            </w:r>
            <w:r>
              <w:rPr>
                <w:rFonts w:cstheme="minorHAnsi"/>
              </w:rPr>
              <w:t xml:space="preserve"> </w:t>
            </w:r>
            <w:r w:rsidRPr="001B76B8">
              <w:rPr>
                <w:rFonts w:cstheme="minorHAnsi"/>
              </w:rPr>
              <w:t>Beschäftigte zu beschränken</w:t>
            </w:r>
            <w:r>
              <w:rPr>
                <w:rFonts w:cstheme="minorHAnsi"/>
              </w:rPr>
              <w:t>.</w:t>
            </w:r>
          </w:p>
        </w:tc>
        <w:sdt>
          <w:sdtPr>
            <w:rPr>
              <w:rFonts w:cstheme="minorHAnsi"/>
            </w:rPr>
            <w:id w:val="1546249053"/>
            <w14:checkbox>
              <w14:checked w14:val="0"/>
              <w14:checkedState w14:val="2612" w14:font="MS Gothic"/>
              <w14:uncheckedState w14:val="2610" w14:font="MS Gothic"/>
            </w14:checkbox>
          </w:sdtPr>
          <w:sdtContent>
            <w:tc>
              <w:tcPr>
                <w:tcW w:w="425" w:type="dxa"/>
                <w:vAlign w:val="center"/>
              </w:tcPr>
              <w:p w14:paraId="3803BB90"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883092692"/>
            <w14:checkbox>
              <w14:checked w14:val="0"/>
              <w14:checkedState w14:val="2612" w14:font="MS Gothic"/>
              <w14:uncheckedState w14:val="2610" w14:font="MS Gothic"/>
            </w14:checkbox>
          </w:sdtPr>
          <w:sdtContent>
            <w:tc>
              <w:tcPr>
                <w:tcW w:w="425" w:type="dxa"/>
                <w:vAlign w:val="center"/>
              </w:tcPr>
              <w:p w14:paraId="023F42A2"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27150E34" w14:textId="77777777" w:rsidR="00BF3E44" w:rsidRPr="004C49D2" w:rsidRDefault="00BF3E44" w:rsidP="00BF3E44">
            <w:pPr>
              <w:jc w:val="center"/>
              <w:rPr>
                <w:rFonts w:cstheme="minorHAnsi"/>
              </w:rPr>
            </w:pPr>
          </w:p>
        </w:tc>
      </w:tr>
      <w:tr w:rsidR="00BF3E44" w:rsidRPr="004C49D2" w14:paraId="773CA7D7" w14:textId="77777777" w:rsidTr="00BF3E44">
        <w:trPr>
          <w:gridAfter w:val="1"/>
          <w:wAfter w:w="6" w:type="dxa"/>
        </w:trPr>
        <w:tc>
          <w:tcPr>
            <w:tcW w:w="9493" w:type="dxa"/>
            <w:shd w:val="clear" w:color="auto" w:fill="auto"/>
            <w:vAlign w:val="center"/>
          </w:tcPr>
          <w:p w14:paraId="487C7B0B" w14:textId="77777777" w:rsidR="00BF3E44" w:rsidRPr="000A1425" w:rsidRDefault="00BF3E44" w:rsidP="004C49D2">
            <w:pPr>
              <w:pStyle w:val="Listenabsatz"/>
              <w:ind w:left="0"/>
              <w:rPr>
                <w:rFonts w:cstheme="minorHAnsi"/>
                <w:b/>
              </w:rPr>
            </w:pPr>
            <w:r w:rsidRPr="000A1425">
              <w:rPr>
                <w:rFonts w:cstheme="minorHAnsi"/>
                <w:b/>
              </w:rPr>
              <w:t>(24) Desinfektion:</w:t>
            </w:r>
          </w:p>
          <w:p w14:paraId="2DF2B436" w14:textId="1836B45D" w:rsidR="00BF3E44" w:rsidRPr="004C49D2" w:rsidRDefault="00BF3E44" w:rsidP="004C49D2">
            <w:pPr>
              <w:pStyle w:val="Listenabsatz"/>
              <w:ind w:left="0"/>
              <w:rPr>
                <w:rFonts w:cstheme="minorHAnsi"/>
              </w:rPr>
            </w:pPr>
            <w:r w:rsidRPr="004C49D2">
              <w:rPr>
                <w:rFonts w:cstheme="minorHAnsi"/>
              </w:rPr>
              <w:t>Arbeitsgeräte und -flächen müssen nach Beendigung der Tätigkeit desinfiziert werden. Akzidentelle Kontaminationen sind sofort entsprechend der Festlegungen des Hygieneplans zu beseitigen.</w:t>
            </w:r>
          </w:p>
        </w:tc>
        <w:sdt>
          <w:sdtPr>
            <w:rPr>
              <w:rFonts w:cstheme="minorHAnsi"/>
            </w:rPr>
            <w:id w:val="1643929016"/>
            <w14:checkbox>
              <w14:checked w14:val="0"/>
              <w14:checkedState w14:val="2612" w14:font="MS Gothic"/>
              <w14:uncheckedState w14:val="2610" w14:font="MS Gothic"/>
            </w14:checkbox>
          </w:sdtPr>
          <w:sdtContent>
            <w:tc>
              <w:tcPr>
                <w:tcW w:w="425" w:type="dxa"/>
                <w:vAlign w:val="center"/>
              </w:tcPr>
              <w:p w14:paraId="52F84DAA"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490317134"/>
            <w14:checkbox>
              <w14:checked w14:val="0"/>
              <w14:checkedState w14:val="2612" w14:font="MS Gothic"/>
              <w14:uncheckedState w14:val="2610" w14:font="MS Gothic"/>
            </w14:checkbox>
          </w:sdtPr>
          <w:sdtContent>
            <w:tc>
              <w:tcPr>
                <w:tcW w:w="425" w:type="dxa"/>
                <w:vAlign w:val="center"/>
              </w:tcPr>
              <w:p w14:paraId="1AC848A1"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0C38B9CD" w14:textId="77777777" w:rsidR="00BF3E44" w:rsidRPr="004C49D2" w:rsidRDefault="00BF3E44" w:rsidP="00BF3E44">
            <w:pPr>
              <w:jc w:val="center"/>
              <w:rPr>
                <w:rFonts w:cstheme="minorHAnsi"/>
              </w:rPr>
            </w:pPr>
          </w:p>
        </w:tc>
      </w:tr>
      <w:tr w:rsidR="00BF3E44" w:rsidRPr="004C49D2" w14:paraId="21C63D34" w14:textId="77777777" w:rsidTr="00BF3E44">
        <w:trPr>
          <w:gridAfter w:val="1"/>
          <w:wAfter w:w="6" w:type="dxa"/>
        </w:trPr>
        <w:tc>
          <w:tcPr>
            <w:tcW w:w="9493" w:type="dxa"/>
            <w:shd w:val="clear" w:color="auto" w:fill="auto"/>
            <w:vAlign w:val="center"/>
          </w:tcPr>
          <w:p w14:paraId="6CFFD00C" w14:textId="77777777" w:rsidR="00BF3E44" w:rsidRPr="004C49D2" w:rsidRDefault="00BF3E44" w:rsidP="00AB3386">
            <w:pPr>
              <w:pStyle w:val="Listenabsatz"/>
              <w:keepNext/>
              <w:keepLines/>
              <w:ind w:left="0"/>
              <w:rPr>
                <w:rFonts w:cstheme="minorHAnsi"/>
              </w:rPr>
            </w:pPr>
            <w:r w:rsidRPr="007158F7">
              <w:rPr>
                <w:rFonts w:cstheme="minorHAnsi"/>
                <w:b/>
              </w:rPr>
              <w:t>(25) Vor Prüf-, Instandsetzungs- und Änderungsarbeiten</w:t>
            </w:r>
            <w:r w:rsidRPr="004C49D2">
              <w:rPr>
                <w:rFonts w:cstheme="minorHAnsi"/>
              </w:rPr>
              <w:t xml:space="preserve"> an kontaminierten Geräten, Einrichtungen oder ggf. an Räumen des Schutzstufenbereichs sind der Umfang und die Art der Dekontamination im Rahmen der Gefährdungsbeurteilung festzulegen und diese durch das Laborpersonal durchzuführen </w:t>
            </w:r>
            <w:r>
              <w:rPr>
                <w:rFonts w:cstheme="minorHAnsi"/>
              </w:rPr>
              <w:t>oder zu veranlassen. Die verant</w:t>
            </w:r>
            <w:r w:rsidRPr="004C49D2">
              <w:rPr>
                <w:rFonts w:cstheme="minorHAnsi"/>
              </w:rPr>
              <w:t>wortliche Person hat eine schriftliche Arbeitsfreigabe zu erteilen. Ist eine vollständige Dekontamination nicht möglich, sind die zusätzlich erforderlichen Schutzmaßnahmen in einer Arbeitsanweisung tätigkeitsbezogen schriftli</w:t>
            </w:r>
            <w:r>
              <w:rPr>
                <w:rFonts w:cstheme="minorHAnsi"/>
              </w:rPr>
              <w:t>ch festzulegen. Die Arbeiten ha</w:t>
            </w:r>
            <w:r w:rsidRPr="004C49D2">
              <w:rPr>
                <w:rFonts w:cstheme="minorHAnsi"/>
              </w:rPr>
              <w:t>ben unter Aufsicht zu erfolgen.</w:t>
            </w:r>
          </w:p>
        </w:tc>
        <w:sdt>
          <w:sdtPr>
            <w:rPr>
              <w:rFonts w:cstheme="minorHAnsi"/>
            </w:rPr>
            <w:id w:val="967403205"/>
            <w14:checkbox>
              <w14:checked w14:val="0"/>
              <w14:checkedState w14:val="2612" w14:font="MS Gothic"/>
              <w14:uncheckedState w14:val="2610" w14:font="MS Gothic"/>
            </w14:checkbox>
          </w:sdtPr>
          <w:sdtContent>
            <w:tc>
              <w:tcPr>
                <w:tcW w:w="425" w:type="dxa"/>
                <w:vAlign w:val="center"/>
              </w:tcPr>
              <w:p w14:paraId="2CDD60C2"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304315432"/>
            <w14:checkbox>
              <w14:checked w14:val="0"/>
              <w14:checkedState w14:val="2612" w14:font="MS Gothic"/>
              <w14:uncheckedState w14:val="2610" w14:font="MS Gothic"/>
            </w14:checkbox>
          </w:sdtPr>
          <w:sdtContent>
            <w:tc>
              <w:tcPr>
                <w:tcW w:w="425" w:type="dxa"/>
                <w:vAlign w:val="center"/>
              </w:tcPr>
              <w:p w14:paraId="43D5CAD1"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58787FA8" w14:textId="77777777" w:rsidR="00BF3E44" w:rsidRPr="004C49D2" w:rsidRDefault="00BF3E44" w:rsidP="00BF3E44">
            <w:pPr>
              <w:keepNext/>
              <w:keepLines/>
              <w:jc w:val="center"/>
              <w:rPr>
                <w:rFonts w:cstheme="minorHAnsi"/>
              </w:rPr>
            </w:pPr>
          </w:p>
        </w:tc>
      </w:tr>
      <w:tr w:rsidR="00BF3E44" w:rsidRPr="004C49D2" w14:paraId="1269B3DD" w14:textId="77777777" w:rsidTr="00BF3E44">
        <w:trPr>
          <w:gridAfter w:val="1"/>
          <w:wAfter w:w="6" w:type="dxa"/>
        </w:trPr>
        <w:tc>
          <w:tcPr>
            <w:tcW w:w="9493" w:type="dxa"/>
            <w:shd w:val="clear" w:color="auto" w:fill="auto"/>
            <w:vAlign w:val="center"/>
          </w:tcPr>
          <w:p w14:paraId="4D26C051" w14:textId="77777777" w:rsidR="00BF3E44" w:rsidRDefault="00BF3E44" w:rsidP="004C49D2">
            <w:pPr>
              <w:pStyle w:val="Listenabsatz"/>
              <w:ind w:left="0"/>
              <w:rPr>
                <w:rFonts w:cstheme="minorHAnsi"/>
              </w:rPr>
            </w:pPr>
            <w:r w:rsidRPr="007158F7">
              <w:rPr>
                <w:rFonts w:cstheme="minorHAnsi"/>
                <w:b/>
              </w:rPr>
              <w:t>(26) Dekontamination HEPA Filter:</w:t>
            </w:r>
          </w:p>
          <w:p w14:paraId="62ACC7C1" w14:textId="77777777" w:rsidR="00BF3E44" w:rsidRPr="004C49D2" w:rsidRDefault="00BF3E44" w:rsidP="004C49D2">
            <w:pPr>
              <w:pStyle w:val="Listenabsatz"/>
              <w:ind w:left="0"/>
              <w:rPr>
                <w:rFonts w:cstheme="minorHAnsi"/>
              </w:rPr>
            </w:pPr>
            <w:r w:rsidRPr="004C49D2">
              <w:rPr>
                <w:rFonts w:cstheme="minorHAnsi"/>
              </w:rPr>
              <w:t>Die Art des Ausbaus und der Dekontamination von HEPA-Filtern sind in der Gefährdungsbeurteilung festzulegen. Der Ausbau</w:t>
            </w:r>
            <w:r>
              <w:rPr>
                <w:rFonts w:cstheme="minorHAnsi"/>
              </w:rPr>
              <w:t xml:space="preserve"> muss so erfolgen, dass eine Ge</w:t>
            </w:r>
            <w:r w:rsidRPr="004C49D2">
              <w:rPr>
                <w:rFonts w:cstheme="minorHAnsi"/>
              </w:rPr>
              <w:t>fährdung des Wartungspersonals und anderer Personen ausgeschlossen werden kann.</w:t>
            </w:r>
          </w:p>
        </w:tc>
        <w:sdt>
          <w:sdtPr>
            <w:rPr>
              <w:rFonts w:cstheme="minorHAnsi"/>
            </w:rPr>
            <w:id w:val="11815083"/>
            <w14:checkbox>
              <w14:checked w14:val="0"/>
              <w14:checkedState w14:val="2612" w14:font="MS Gothic"/>
              <w14:uncheckedState w14:val="2610" w14:font="MS Gothic"/>
            </w14:checkbox>
          </w:sdtPr>
          <w:sdtContent>
            <w:tc>
              <w:tcPr>
                <w:tcW w:w="425" w:type="dxa"/>
                <w:vAlign w:val="center"/>
              </w:tcPr>
              <w:p w14:paraId="19781946"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399332483"/>
            <w14:checkbox>
              <w14:checked w14:val="0"/>
              <w14:checkedState w14:val="2612" w14:font="MS Gothic"/>
              <w14:uncheckedState w14:val="2610" w14:font="MS Gothic"/>
            </w14:checkbox>
          </w:sdtPr>
          <w:sdtContent>
            <w:tc>
              <w:tcPr>
                <w:tcW w:w="425" w:type="dxa"/>
                <w:vAlign w:val="center"/>
              </w:tcPr>
              <w:p w14:paraId="2F6E43F5"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79F6F6DF" w14:textId="77777777" w:rsidR="00BF3E44" w:rsidRPr="004C49D2" w:rsidRDefault="00BF3E44" w:rsidP="00BF3E44">
            <w:pPr>
              <w:jc w:val="center"/>
              <w:rPr>
                <w:rFonts w:cstheme="minorHAnsi"/>
              </w:rPr>
            </w:pPr>
          </w:p>
        </w:tc>
      </w:tr>
      <w:tr w:rsidR="00BF3E44" w:rsidRPr="004C49D2" w14:paraId="6F9063B2" w14:textId="77777777" w:rsidTr="00BF3E44">
        <w:trPr>
          <w:gridAfter w:val="1"/>
          <w:wAfter w:w="6" w:type="dxa"/>
        </w:trPr>
        <w:tc>
          <w:tcPr>
            <w:tcW w:w="9493" w:type="dxa"/>
            <w:shd w:val="clear" w:color="auto" w:fill="auto"/>
            <w:vAlign w:val="center"/>
          </w:tcPr>
          <w:p w14:paraId="7C25D9A8" w14:textId="77777777" w:rsidR="00BF3E44" w:rsidRPr="004C49D2" w:rsidRDefault="00BF3E44" w:rsidP="00501A59">
            <w:pPr>
              <w:pStyle w:val="Listenabsatz"/>
              <w:keepNext/>
              <w:keepLines/>
              <w:ind w:left="0"/>
              <w:rPr>
                <w:rFonts w:cstheme="minorHAnsi"/>
                <w:b/>
              </w:rPr>
            </w:pPr>
            <w:r w:rsidRPr="004C49D2">
              <w:rPr>
                <w:rFonts w:cstheme="minorHAnsi"/>
                <w:b/>
              </w:rPr>
              <w:lastRenderedPageBreak/>
              <w:t>(27) Lagerung:</w:t>
            </w:r>
          </w:p>
          <w:p w14:paraId="531C00F5" w14:textId="2641957F" w:rsidR="00BF3E44" w:rsidRPr="004C49D2" w:rsidRDefault="00BF3E44" w:rsidP="00501A59">
            <w:pPr>
              <w:pStyle w:val="Listenabsatz"/>
              <w:keepNext/>
              <w:keepLines/>
              <w:ind w:left="0"/>
              <w:rPr>
                <w:rFonts w:cstheme="minorHAnsi"/>
              </w:rPr>
            </w:pPr>
            <w:r w:rsidRPr="004C49D2">
              <w:rPr>
                <w:rFonts w:cstheme="minorHAnsi"/>
              </w:rPr>
              <w:t xml:space="preserve"> Biologische Arbeitsstoffe der Risikogruppe 3 sind geschützt vor unbefugtem Zugriff im Schutzstufenbereich zu lagern. Es muss </w:t>
            </w:r>
            <w:r>
              <w:rPr>
                <w:rFonts w:cstheme="minorHAnsi"/>
              </w:rPr>
              <w:t>gewährleistet sein, dass nur be</w:t>
            </w:r>
            <w:r w:rsidRPr="004C49D2">
              <w:rPr>
                <w:rFonts w:cstheme="minorHAnsi"/>
              </w:rPr>
              <w:t xml:space="preserve">rechtigte Personen Zugriff haben. Im Falle von </w:t>
            </w:r>
            <w:r>
              <w:rPr>
                <w:rFonts w:cstheme="minorHAnsi"/>
              </w:rPr>
              <w:t>humanpathogenen biologischen Ar</w:t>
            </w:r>
            <w:r w:rsidRPr="004C49D2">
              <w:rPr>
                <w:rFonts w:cstheme="minorHAnsi"/>
              </w:rPr>
              <w:t xml:space="preserve">beitsstoffen, die in der EU-Verordnung Nr. 388/2012 </w:t>
            </w:r>
            <w:r>
              <w:rPr>
                <w:rFonts w:cstheme="minorHAnsi"/>
              </w:rPr>
              <w:t>über die Kontrolle der Aus</w:t>
            </w:r>
            <w:r w:rsidRPr="004C49D2">
              <w:rPr>
                <w:rFonts w:cstheme="minorHAnsi"/>
              </w:rPr>
              <w:t>fuhr von Gütern mit doppeltem Verwendungszweck gelistet sind, muss die Lagerung unter Verschluss erfolgen.</w:t>
            </w:r>
          </w:p>
          <w:p w14:paraId="745DABD0" w14:textId="77777777" w:rsidR="00BF3E44" w:rsidRPr="004C49D2" w:rsidRDefault="00BF3E44" w:rsidP="00501A59">
            <w:pPr>
              <w:pStyle w:val="Listenabsatz"/>
              <w:keepNext/>
              <w:keepLines/>
              <w:ind w:left="0"/>
              <w:rPr>
                <w:rFonts w:cstheme="minorHAnsi"/>
              </w:rPr>
            </w:pPr>
            <w:r w:rsidRPr="004C49D2">
              <w:rPr>
                <w:rFonts w:cstheme="minorHAnsi"/>
              </w:rPr>
              <w:t>Es sind Maßnahmen festzulegen, die einzuleiten sin</w:t>
            </w:r>
            <w:r>
              <w:rPr>
                <w:rFonts w:cstheme="minorHAnsi"/>
              </w:rPr>
              <w:t>d, falls die getroffenen Vorkeh</w:t>
            </w:r>
            <w:r w:rsidRPr="004C49D2">
              <w:rPr>
                <w:rFonts w:cstheme="minorHAnsi"/>
              </w:rPr>
              <w:t>rungen gegen Diebstahl und sonstigen Missbrauch nicht gegriffen haben.</w:t>
            </w:r>
          </w:p>
        </w:tc>
        <w:sdt>
          <w:sdtPr>
            <w:rPr>
              <w:rFonts w:cstheme="minorHAnsi"/>
            </w:rPr>
            <w:id w:val="1428698885"/>
            <w14:checkbox>
              <w14:checked w14:val="0"/>
              <w14:checkedState w14:val="2612" w14:font="MS Gothic"/>
              <w14:uncheckedState w14:val="2610" w14:font="MS Gothic"/>
            </w14:checkbox>
          </w:sdtPr>
          <w:sdtContent>
            <w:tc>
              <w:tcPr>
                <w:tcW w:w="425" w:type="dxa"/>
                <w:vAlign w:val="center"/>
              </w:tcPr>
              <w:p w14:paraId="48955195"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065218242"/>
            <w14:checkbox>
              <w14:checked w14:val="0"/>
              <w14:checkedState w14:val="2612" w14:font="MS Gothic"/>
              <w14:uncheckedState w14:val="2610" w14:font="MS Gothic"/>
            </w14:checkbox>
          </w:sdtPr>
          <w:sdtContent>
            <w:tc>
              <w:tcPr>
                <w:tcW w:w="425" w:type="dxa"/>
                <w:vAlign w:val="center"/>
              </w:tcPr>
              <w:p w14:paraId="2367A742"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3BBA27A9" w14:textId="77777777" w:rsidR="00BF3E44" w:rsidRPr="004C49D2" w:rsidRDefault="00BF3E44" w:rsidP="00BF3E44">
            <w:pPr>
              <w:keepNext/>
              <w:keepLines/>
              <w:jc w:val="center"/>
              <w:rPr>
                <w:rFonts w:cstheme="minorHAnsi"/>
              </w:rPr>
            </w:pPr>
          </w:p>
        </w:tc>
      </w:tr>
      <w:tr w:rsidR="00BF3E44" w:rsidRPr="004C49D2" w14:paraId="6AC68A77" w14:textId="77777777" w:rsidTr="00BF3E44">
        <w:trPr>
          <w:gridAfter w:val="1"/>
          <w:wAfter w:w="6" w:type="dxa"/>
        </w:trPr>
        <w:tc>
          <w:tcPr>
            <w:tcW w:w="9493" w:type="dxa"/>
            <w:shd w:val="clear" w:color="auto" w:fill="auto"/>
            <w:vAlign w:val="center"/>
          </w:tcPr>
          <w:p w14:paraId="114D93AF" w14:textId="77777777" w:rsidR="00BF3E44" w:rsidRPr="004C49D2" w:rsidRDefault="00BF3E44" w:rsidP="004C49D2">
            <w:pPr>
              <w:pStyle w:val="Listenabsatz"/>
              <w:ind w:left="0"/>
              <w:rPr>
                <w:rFonts w:cstheme="minorHAnsi"/>
                <w:b/>
              </w:rPr>
            </w:pPr>
            <w:r w:rsidRPr="004C49D2">
              <w:rPr>
                <w:rFonts w:cstheme="minorHAnsi"/>
                <w:b/>
              </w:rPr>
              <w:t>(28) innerbetriebliche Transport:</w:t>
            </w:r>
          </w:p>
          <w:p w14:paraId="68276954" w14:textId="77777777" w:rsidR="00BF3E44" w:rsidRPr="004C49D2" w:rsidRDefault="00BF3E44" w:rsidP="004C49D2">
            <w:pPr>
              <w:pStyle w:val="Listenabsatz"/>
              <w:ind w:left="0"/>
              <w:rPr>
                <w:rFonts w:cstheme="minorHAnsi"/>
              </w:rPr>
            </w:pPr>
            <w:r w:rsidRPr="004C49D2">
              <w:rPr>
                <w:rFonts w:cstheme="minorHAnsi"/>
              </w:rPr>
              <w:t>Außerhalb des Schutzstufenbereichs muss der innerbetriebliche Transport von biologischen Arbeitsstoffen der Risikogruppe 3 oder entsprechenden Materialien in geschlossenen, formstabilen, bruchsicheren und f</w:t>
            </w:r>
            <w:r>
              <w:rPr>
                <w:rFonts w:cstheme="minorHAnsi"/>
              </w:rPr>
              <w:t>lüssigkeitsdichten Gefäßen (Pri</w:t>
            </w:r>
            <w:r w:rsidRPr="004C49D2">
              <w:rPr>
                <w:rFonts w:cstheme="minorHAnsi"/>
              </w:rPr>
              <w:t>märbehältnisse) erfolgen, die von außen desinfizier</w:t>
            </w:r>
            <w:r>
              <w:rPr>
                <w:rFonts w:cstheme="minorHAnsi"/>
              </w:rPr>
              <w:t>t wurden und dauerhaft beschrif</w:t>
            </w:r>
            <w:r w:rsidRPr="004C49D2">
              <w:rPr>
                <w:rFonts w:cstheme="minorHAnsi"/>
              </w:rPr>
              <w:t>tet bzw. etikettiert sind. Sie dürfen sich durch äuße</w:t>
            </w:r>
            <w:r>
              <w:rPr>
                <w:rFonts w:cstheme="minorHAnsi"/>
              </w:rPr>
              <w:t>re Einwirkungen nicht versehent</w:t>
            </w:r>
            <w:r w:rsidRPr="004C49D2">
              <w:rPr>
                <w:rFonts w:cstheme="minorHAnsi"/>
              </w:rPr>
              <w:t>lich öffnen lassen. Die Primärbehältnisse sind in einem zweiten bruchsicheren und verschließbaren Sekundärbehältnis, welches mit dem „Symbol für Biogefährdung“ gekennzeichnet ist, zu transportieren.</w:t>
            </w:r>
          </w:p>
        </w:tc>
        <w:sdt>
          <w:sdtPr>
            <w:rPr>
              <w:rFonts w:cstheme="minorHAnsi"/>
            </w:rPr>
            <w:id w:val="1733196252"/>
            <w14:checkbox>
              <w14:checked w14:val="0"/>
              <w14:checkedState w14:val="2612" w14:font="MS Gothic"/>
              <w14:uncheckedState w14:val="2610" w14:font="MS Gothic"/>
            </w14:checkbox>
          </w:sdtPr>
          <w:sdtContent>
            <w:tc>
              <w:tcPr>
                <w:tcW w:w="425" w:type="dxa"/>
                <w:vAlign w:val="center"/>
              </w:tcPr>
              <w:p w14:paraId="4B00A3AA"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129968541"/>
            <w14:checkbox>
              <w14:checked w14:val="0"/>
              <w14:checkedState w14:val="2612" w14:font="MS Gothic"/>
              <w14:uncheckedState w14:val="2610" w14:font="MS Gothic"/>
            </w14:checkbox>
          </w:sdtPr>
          <w:sdtContent>
            <w:tc>
              <w:tcPr>
                <w:tcW w:w="425" w:type="dxa"/>
                <w:vAlign w:val="center"/>
              </w:tcPr>
              <w:p w14:paraId="72939D07"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15D0151C" w14:textId="77777777" w:rsidR="00BF3E44" w:rsidRPr="004C49D2" w:rsidRDefault="00BF3E44" w:rsidP="00BF3E44">
            <w:pPr>
              <w:jc w:val="center"/>
              <w:rPr>
                <w:rFonts w:cstheme="minorHAnsi"/>
              </w:rPr>
            </w:pPr>
          </w:p>
        </w:tc>
      </w:tr>
      <w:tr w:rsidR="00BF3E44" w:rsidRPr="004C49D2" w14:paraId="739292E5" w14:textId="77777777" w:rsidTr="00BF3E44">
        <w:trPr>
          <w:gridAfter w:val="1"/>
          <w:wAfter w:w="6" w:type="dxa"/>
        </w:trPr>
        <w:tc>
          <w:tcPr>
            <w:tcW w:w="9493" w:type="dxa"/>
            <w:shd w:val="clear" w:color="auto" w:fill="auto"/>
            <w:vAlign w:val="center"/>
          </w:tcPr>
          <w:p w14:paraId="5DBAF961" w14:textId="77777777" w:rsidR="00BF3E44" w:rsidRPr="007158F7" w:rsidRDefault="00BF3E44" w:rsidP="004C49D2">
            <w:pPr>
              <w:pStyle w:val="Listenabsatz"/>
              <w:ind w:left="0"/>
              <w:rPr>
                <w:rFonts w:cstheme="minorHAnsi"/>
                <w:b/>
              </w:rPr>
            </w:pPr>
            <w:r w:rsidRPr="007158F7">
              <w:rPr>
                <w:rFonts w:cstheme="minorHAnsi"/>
                <w:b/>
              </w:rPr>
              <w:t>(29) Gefahrenabwehr:</w:t>
            </w:r>
          </w:p>
          <w:p w14:paraId="68FDEBB5" w14:textId="77777777" w:rsidR="00BF3E44" w:rsidRPr="004C49D2" w:rsidRDefault="00BF3E44" w:rsidP="004C49D2">
            <w:pPr>
              <w:pStyle w:val="Listenabsatz"/>
              <w:ind w:left="0"/>
              <w:rPr>
                <w:rFonts w:cstheme="minorHAnsi"/>
              </w:rPr>
            </w:pPr>
            <w:r w:rsidRPr="004C49D2">
              <w:rPr>
                <w:rFonts w:cstheme="minorHAnsi"/>
              </w:rPr>
              <w:t>In einem innerbetrieblichen Plan ist zu reg</w:t>
            </w:r>
            <w:r>
              <w:rPr>
                <w:rFonts w:cstheme="minorHAnsi"/>
              </w:rPr>
              <w:t>eln, welche Maßnahmen zur Abwen</w:t>
            </w:r>
            <w:r w:rsidRPr="004C49D2">
              <w:rPr>
                <w:rFonts w:cstheme="minorHAnsi"/>
              </w:rPr>
              <w:t>dung von Gefahren zu ergreifen sind, die beim V</w:t>
            </w:r>
            <w:r>
              <w:rPr>
                <w:rFonts w:cstheme="minorHAnsi"/>
              </w:rPr>
              <w:t>ersagen einer Einschließungsmaß</w:t>
            </w:r>
            <w:r w:rsidRPr="004C49D2">
              <w:rPr>
                <w:rFonts w:cstheme="minorHAnsi"/>
              </w:rPr>
              <w:t>nahme durch die Freisetzung biologischer Arbeitsstoffe auftreten können. Der Plan muss neben Informationen zu den möglichen spezifischen Gefahren auch die Namen der für die Durchführung der Rettungsmaßnahmen zuständigen Personen enthalten.</w:t>
            </w:r>
          </w:p>
        </w:tc>
        <w:sdt>
          <w:sdtPr>
            <w:rPr>
              <w:rFonts w:cstheme="minorHAnsi"/>
            </w:rPr>
            <w:id w:val="1344662613"/>
            <w14:checkbox>
              <w14:checked w14:val="0"/>
              <w14:checkedState w14:val="2612" w14:font="MS Gothic"/>
              <w14:uncheckedState w14:val="2610" w14:font="MS Gothic"/>
            </w14:checkbox>
          </w:sdtPr>
          <w:sdtContent>
            <w:tc>
              <w:tcPr>
                <w:tcW w:w="425" w:type="dxa"/>
                <w:vAlign w:val="center"/>
              </w:tcPr>
              <w:p w14:paraId="7048670D"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440763427"/>
            <w14:checkbox>
              <w14:checked w14:val="0"/>
              <w14:checkedState w14:val="2612" w14:font="MS Gothic"/>
              <w14:uncheckedState w14:val="2610" w14:font="MS Gothic"/>
            </w14:checkbox>
          </w:sdtPr>
          <w:sdtContent>
            <w:tc>
              <w:tcPr>
                <w:tcW w:w="425" w:type="dxa"/>
                <w:vAlign w:val="center"/>
              </w:tcPr>
              <w:p w14:paraId="24A657EF"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2EA10D93" w14:textId="77777777" w:rsidR="00BF3E44" w:rsidRPr="004C49D2" w:rsidRDefault="00BF3E44" w:rsidP="00BF3E44">
            <w:pPr>
              <w:jc w:val="center"/>
              <w:rPr>
                <w:rFonts w:cstheme="minorHAnsi"/>
              </w:rPr>
            </w:pPr>
          </w:p>
        </w:tc>
      </w:tr>
      <w:tr w:rsidR="00BF3E44" w:rsidRPr="004C49D2" w14:paraId="638FC407" w14:textId="77777777" w:rsidTr="00BF3E44">
        <w:trPr>
          <w:gridAfter w:val="1"/>
          <w:wAfter w:w="6" w:type="dxa"/>
        </w:trPr>
        <w:tc>
          <w:tcPr>
            <w:tcW w:w="9493" w:type="dxa"/>
            <w:shd w:val="clear" w:color="auto" w:fill="auto"/>
            <w:vAlign w:val="center"/>
          </w:tcPr>
          <w:p w14:paraId="591A5ADE" w14:textId="77777777" w:rsidR="00BF3E44" w:rsidRPr="007158F7" w:rsidRDefault="00BF3E44" w:rsidP="00501A59">
            <w:pPr>
              <w:pStyle w:val="Listenabsatz"/>
              <w:keepNext/>
              <w:keepLines/>
              <w:ind w:left="0"/>
              <w:rPr>
                <w:rFonts w:cstheme="minorHAnsi"/>
                <w:b/>
              </w:rPr>
            </w:pPr>
            <w:r w:rsidRPr="007158F7">
              <w:rPr>
                <w:rFonts w:cstheme="minorHAnsi"/>
                <w:b/>
              </w:rPr>
              <w:lastRenderedPageBreak/>
              <w:t>(30) Arbeitsanweisungen (SOPs):</w:t>
            </w:r>
          </w:p>
          <w:p w14:paraId="13C6886D" w14:textId="44E264B2" w:rsidR="00BF3E44" w:rsidRPr="007B55F8" w:rsidRDefault="00BF3E44" w:rsidP="007B55F8">
            <w:pPr>
              <w:pStyle w:val="Listenabsatz"/>
              <w:keepNext/>
              <w:keepLines/>
              <w:ind w:left="22"/>
              <w:rPr>
                <w:rFonts w:cstheme="minorHAnsi"/>
              </w:rPr>
            </w:pPr>
            <w:r w:rsidRPr="007B55F8">
              <w:rPr>
                <w:rFonts w:cstheme="minorHAnsi"/>
              </w:rPr>
              <w:t>Für Tätigkeiten der Schutzstufen 3 und 4 sind zusätzlich zur Betriebsanweisung Arbeitsanweisungen zu</w:t>
            </w:r>
            <w:r>
              <w:rPr>
                <w:rFonts w:cstheme="minorHAnsi"/>
              </w:rPr>
              <w:t xml:space="preserve"> </w:t>
            </w:r>
            <w:r w:rsidRPr="007B55F8">
              <w:rPr>
                <w:rFonts w:cstheme="minorHAnsi"/>
              </w:rPr>
              <w:t>erstellen, die am Arbeitsplatz vorliegen müssen. Arbeitsanweisungen sind auch erforderlich für folgende</w:t>
            </w:r>
            <w:r>
              <w:rPr>
                <w:rFonts w:cstheme="minorHAnsi"/>
              </w:rPr>
              <w:t xml:space="preserve"> </w:t>
            </w:r>
            <w:r w:rsidRPr="007B55F8">
              <w:rPr>
                <w:rFonts w:cstheme="minorHAnsi"/>
              </w:rPr>
              <w:t>Tätigkeiten mit erhöhter Infektionsgefährdung:</w:t>
            </w:r>
          </w:p>
          <w:p w14:paraId="426C7964" w14:textId="77777777" w:rsidR="00BF3E44" w:rsidRPr="007B55F8" w:rsidRDefault="00BF3E44" w:rsidP="007B55F8">
            <w:pPr>
              <w:pStyle w:val="Listenabsatz"/>
              <w:keepNext/>
              <w:keepLines/>
              <w:ind w:left="22"/>
              <w:rPr>
                <w:rFonts w:cstheme="minorHAnsi"/>
              </w:rPr>
            </w:pPr>
            <w:r w:rsidRPr="007B55F8">
              <w:rPr>
                <w:rFonts w:cstheme="minorHAnsi"/>
              </w:rPr>
              <w:t>1. Instandhaltungs-, Reinigungs-, Änderungs- oder Abbrucharbeiten in oder an kontaminierten Arbeitsmitteln,</w:t>
            </w:r>
          </w:p>
          <w:p w14:paraId="5679C938" w14:textId="77777777" w:rsidR="00BF3E44" w:rsidRPr="007B55F8" w:rsidRDefault="00BF3E44" w:rsidP="007B55F8">
            <w:pPr>
              <w:pStyle w:val="Listenabsatz"/>
              <w:keepNext/>
              <w:keepLines/>
              <w:ind w:left="0"/>
              <w:rPr>
                <w:rFonts w:cstheme="minorHAnsi"/>
              </w:rPr>
            </w:pPr>
            <w:r w:rsidRPr="007B55F8">
              <w:rPr>
                <w:rFonts w:cstheme="minorHAnsi"/>
              </w:rPr>
              <w:t>2. Tätigkeiten, bei denen erfahrungsgemäß eine erhöhte Unfallgefahr besteht,</w:t>
            </w:r>
          </w:p>
          <w:p w14:paraId="631CE444" w14:textId="192945A8" w:rsidR="00BF3E44" w:rsidRPr="004C49D2" w:rsidRDefault="00BF3E44" w:rsidP="007B55F8">
            <w:pPr>
              <w:pStyle w:val="Listenabsatz"/>
              <w:keepNext/>
              <w:keepLines/>
              <w:ind w:left="0"/>
              <w:rPr>
                <w:rFonts w:cstheme="minorHAnsi"/>
              </w:rPr>
            </w:pPr>
            <w:r w:rsidRPr="007B55F8">
              <w:rPr>
                <w:rFonts w:cstheme="minorHAnsi"/>
              </w:rPr>
              <w:t>3. Tätigkeiten, bei denen bei einem Unfall mit schweren Infektionen zu rechnen</w:t>
            </w:r>
          </w:p>
        </w:tc>
        <w:sdt>
          <w:sdtPr>
            <w:rPr>
              <w:rFonts w:cstheme="minorHAnsi"/>
            </w:rPr>
            <w:id w:val="-1578739706"/>
            <w14:checkbox>
              <w14:checked w14:val="0"/>
              <w14:checkedState w14:val="2612" w14:font="MS Gothic"/>
              <w14:uncheckedState w14:val="2610" w14:font="MS Gothic"/>
            </w14:checkbox>
          </w:sdtPr>
          <w:sdtContent>
            <w:tc>
              <w:tcPr>
                <w:tcW w:w="425" w:type="dxa"/>
                <w:vAlign w:val="center"/>
              </w:tcPr>
              <w:p w14:paraId="666DFAF0"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079252871"/>
            <w14:checkbox>
              <w14:checked w14:val="0"/>
              <w14:checkedState w14:val="2612" w14:font="MS Gothic"/>
              <w14:uncheckedState w14:val="2610" w14:font="MS Gothic"/>
            </w14:checkbox>
          </w:sdtPr>
          <w:sdtContent>
            <w:tc>
              <w:tcPr>
                <w:tcW w:w="425" w:type="dxa"/>
                <w:vAlign w:val="center"/>
              </w:tcPr>
              <w:p w14:paraId="2440BB28" w14:textId="4623CF0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7EBAE929" w14:textId="77777777" w:rsidR="00BF3E44" w:rsidRPr="004C49D2" w:rsidRDefault="00BF3E44" w:rsidP="00BF3E44">
            <w:pPr>
              <w:keepNext/>
              <w:keepLines/>
              <w:jc w:val="center"/>
              <w:rPr>
                <w:rFonts w:cstheme="minorHAnsi"/>
              </w:rPr>
            </w:pPr>
          </w:p>
        </w:tc>
      </w:tr>
      <w:tr w:rsidR="00BF3E44" w:rsidRPr="004C49D2" w14:paraId="27CD4225" w14:textId="77777777" w:rsidTr="00BF3E44">
        <w:trPr>
          <w:gridAfter w:val="1"/>
          <w:wAfter w:w="6" w:type="dxa"/>
        </w:trPr>
        <w:tc>
          <w:tcPr>
            <w:tcW w:w="9493" w:type="dxa"/>
            <w:shd w:val="clear" w:color="auto" w:fill="auto"/>
            <w:vAlign w:val="center"/>
          </w:tcPr>
          <w:p w14:paraId="1D601D62" w14:textId="77777777" w:rsidR="00BF3E44" w:rsidRPr="007158F7" w:rsidRDefault="00BF3E44" w:rsidP="004C49D2">
            <w:pPr>
              <w:pStyle w:val="Listenabsatz"/>
              <w:ind w:left="0"/>
              <w:rPr>
                <w:rFonts w:cstheme="minorHAnsi"/>
                <w:b/>
              </w:rPr>
            </w:pPr>
            <w:r w:rsidRPr="007158F7">
              <w:rPr>
                <w:rFonts w:cstheme="minorHAnsi"/>
                <w:b/>
              </w:rPr>
              <w:t xml:space="preserve">(31) </w:t>
            </w:r>
            <w:r>
              <w:rPr>
                <w:rFonts w:cstheme="minorHAnsi"/>
                <w:b/>
              </w:rPr>
              <w:t xml:space="preserve">Vorbeugung </w:t>
            </w:r>
            <w:r w:rsidRPr="007158F7">
              <w:rPr>
                <w:rFonts w:cstheme="minorHAnsi"/>
                <w:b/>
              </w:rPr>
              <w:t>Nadelstichverletzungen/</w:t>
            </w:r>
            <w:proofErr w:type="spellStart"/>
            <w:r w:rsidRPr="007158F7">
              <w:rPr>
                <w:rFonts w:cstheme="minorHAnsi"/>
                <w:b/>
              </w:rPr>
              <w:t>Recapping</w:t>
            </w:r>
            <w:proofErr w:type="spellEnd"/>
            <w:r w:rsidRPr="007158F7">
              <w:rPr>
                <w:rFonts w:cstheme="minorHAnsi"/>
                <w:b/>
              </w:rPr>
              <w:t xml:space="preserve"> Verbot:</w:t>
            </w:r>
          </w:p>
          <w:p w14:paraId="0B53EE1B" w14:textId="77777777" w:rsidR="00BF3E44" w:rsidRPr="004C49D2" w:rsidRDefault="00BF3E44" w:rsidP="004C49D2">
            <w:pPr>
              <w:pStyle w:val="Listenabsatz"/>
              <w:ind w:left="0"/>
              <w:rPr>
                <w:rFonts w:cstheme="minorHAnsi"/>
              </w:rPr>
            </w:pPr>
            <w:r w:rsidRPr="004C49D2">
              <w:rPr>
                <w:rFonts w:cstheme="minorHAnsi"/>
              </w:rPr>
              <w:t>Nadeln, Spritzen und andere spitze und scharfe Instrumente und Gegenstände sind nur, wenn unbedingt erforderlich zu verwenden. Wenn technisch machbar, sind Sicherheitsgeräte einzusetzen. Nach Gebrauch sind diese in stich- und bruchfesten Einmalbehältnissen zu sammeln und zu inaktivieren. Kanülen dürfen nicht</w:t>
            </w:r>
            <w:r>
              <w:rPr>
                <w:rFonts w:cstheme="minorHAnsi"/>
              </w:rPr>
              <w:t xml:space="preserve"> in die </w:t>
            </w:r>
            <w:proofErr w:type="spellStart"/>
            <w:r>
              <w:rPr>
                <w:rFonts w:cstheme="minorHAnsi"/>
              </w:rPr>
              <w:t>Kanülenabdeckung</w:t>
            </w:r>
            <w:proofErr w:type="spellEnd"/>
            <w:r>
              <w:rPr>
                <w:rFonts w:cstheme="minorHAnsi"/>
              </w:rPr>
              <w:t xml:space="preserve"> zurück</w:t>
            </w:r>
            <w:r w:rsidRPr="004C49D2">
              <w:rPr>
                <w:rFonts w:cstheme="minorHAnsi"/>
              </w:rPr>
              <w:t>gesteckt werden.</w:t>
            </w:r>
          </w:p>
        </w:tc>
        <w:sdt>
          <w:sdtPr>
            <w:rPr>
              <w:rFonts w:cstheme="minorHAnsi"/>
            </w:rPr>
            <w:id w:val="1595896037"/>
            <w14:checkbox>
              <w14:checked w14:val="0"/>
              <w14:checkedState w14:val="2612" w14:font="MS Gothic"/>
              <w14:uncheckedState w14:val="2610" w14:font="MS Gothic"/>
            </w14:checkbox>
          </w:sdtPr>
          <w:sdtContent>
            <w:tc>
              <w:tcPr>
                <w:tcW w:w="425" w:type="dxa"/>
                <w:vAlign w:val="center"/>
              </w:tcPr>
              <w:p w14:paraId="2DE22972"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256020921"/>
            <w14:checkbox>
              <w14:checked w14:val="0"/>
              <w14:checkedState w14:val="2612" w14:font="MS Gothic"/>
              <w14:uncheckedState w14:val="2610" w14:font="MS Gothic"/>
            </w14:checkbox>
          </w:sdtPr>
          <w:sdtContent>
            <w:tc>
              <w:tcPr>
                <w:tcW w:w="425" w:type="dxa"/>
                <w:vAlign w:val="center"/>
              </w:tcPr>
              <w:p w14:paraId="585CD7A0"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434ACDFD" w14:textId="77777777" w:rsidR="00BF3E44" w:rsidRPr="004C49D2" w:rsidRDefault="00BF3E44" w:rsidP="00BF3E44">
            <w:pPr>
              <w:jc w:val="center"/>
              <w:rPr>
                <w:rFonts w:cstheme="minorHAnsi"/>
              </w:rPr>
            </w:pPr>
          </w:p>
        </w:tc>
      </w:tr>
      <w:tr w:rsidR="00BF3E44" w:rsidRPr="004C49D2" w14:paraId="7DD2E1FC" w14:textId="77777777" w:rsidTr="00BF3E44">
        <w:trPr>
          <w:gridAfter w:val="1"/>
          <w:wAfter w:w="6" w:type="dxa"/>
        </w:trPr>
        <w:tc>
          <w:tcPr>
            <w:tcW w:w="9493" w:type="dxa"/>
            <w:shd w:val="clear" w:color="auto" w:fill="auto"/>
            <w:vAlign w:val="center"/>
          </w:tcPr>
          <w:p w14:paraId="086F5A1D" w14:textId="77777777" w:rsidR="00BF3E44" w:rsidRPr="004C49D2" w:rsidRDefault="00BF3E44" w:rsidP="004C49D2">
            <w:pPr>
              <w:pStyle w:val="Listenabsatz"/>
              <w:ind w:left="0"/>
              <w:rPr>
                <w:rFonts w:cstheme="minorHAnsi"/>
              </w:rPr>
            </w:pPr>
            <w:r w:rsidRPr="000C64B7">
              <w:rPr>
                <w:rFonts w:cstheme="minorHAnsi"/>
                <w:b/>
              </w:rPr>
              <w:t>(32)</w:t>
            </w:r>
            <w:r w:rsidRPr="004C49D2">
              <w:rPr>
                <w:rFonts w:cstheme="minorHAnsi"/>
              </w:rPr>
              <w:t xml:space="preserve"> </w:t>
            </w:r>
            <w:proofErr w:type="spellStart"/>
            <w:r w:rsidRPr="004C49D2">
              <w:rPr>
                <w:rFonts w:cstheme="minorHAnsi"/>
              </w:rPr>
              <w:t>Pipettierhilfen</w:t>
            </w:r>
            <w:proofErr w:type="spellEnd"/>
            <w:r w:rsidRPr="004C49D2">
              <w:rPr>
                <w:rFonts w:cstheme="minorHAnsi"/>
              </w:rPr>
              <w:t xml:space="preserve"> sind zu benutzen.</w:t>
            </w:r>
          </w:p>
        </w:tc>
        <w:sdt>
          <w:sdtPr>
            <w:rPr>
              <w:rFonts w:cstheme="minorHAnsi"/>
            </w:rPr>
            <w:id w:val="-610656353"/>
            <w14:checkbox>
              <w14:checked w14:val="0"/>
              <w14:checkedState w14:val="2612" w14:font="MS Gothic"/>
              <w14:uncheckedState w14:val="2610" w14:font="MS Gothic"/>
            </w14:checkbox>
          </w:sdtPr>
          <w:sdtContent>
            <w:tc>
              <w:tcPr>
                <w:tcW w:w="425" w:type="dxa"/>
                <w:vAlign w:val="center"/>
              </w:tcPr>
              <w:p w14:paraId="32E0C7C1"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465304458"/>
            <w14:checkbox>
              <w14:checked w14:val="0"/>
              <w14:checkedState w14:val="2612" w14:font="MS Gothic"/>
              <w14:uncheckedState w14:val="2610" w14:font="MS Gothic"/>
            </w14:checkbox>
          </w:sdtPr>
          <w:sdtContent>
            <w:tc>
              <w:tcPr>
                <w:tcW w:w="425" w:type="dxa"/>
                <w:vAlign w:val="center"/>
              </w:tcPr>
              <w:p w14:paraId="745BF9F2"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563D0418" w14:textId="77777777" w:rsidR="00BF3E44" w:rsidRPr="004C49D2" w:rsidRDefault="00BF3E44" w:rsidP="00BF3E44">
            <w:pPr>
              <w:jc w:val="center"/>
              <w:rPr>
                <w:rFonts w:cstheme="minorHAnsi"/>
              </w:rPr>
            </w:pPr>
          </w:p>
        </w:tc>
      </w:tr>
      <w:tr w:rsidR="00BF3E44" w:rsidRPr="004C49D2" w14:paraId="3FB9E129" w14:textId="77777777" w:rsidTr="00BF3E44">
        <w:trPr>
          <w:gridAfter w:val="1"/>
          <w:wAfter w:w="6" w:type="dxa"/>
        </w:trPr>
        <w:tc>
          <w:tcPr>
            <w:tcW w:w="9493" w:type="dxa"/>
            <w:shd w:val="clear" w:color="auto" w:fill="auto"/>
            <w:vAlign w:val="center"/>
          </w:tcPr>
          <w:p w14:paraId="213B508C" w14:textId="77777777" w:rsidR="00BF3E44" w:rsidRPr="000A1425" w:rsidRDefault="00BF3E44" w:rsidP="004C49D2">
            <w:pPr>
              <w:pStyle w:val="Listenabsatz"/>
              <w:ind w:left="0"/>
              <w:rPr>
                <w:rFonts w:cstheme="minorHAnsi"/>
                <w:b/>
              </w:rPr>
            </w:pPr>
            <w:r w:rsidRPr="000A1425">
              <w:rPr>
                <w:rFonts w:cstheme="minorHAnsi"/>
                <w:b/>
              </w:rPr>
              <w:t>(33) Ordnung und Hygiene:</w:t>
            </w:r>
          </w:p>
          <w:p w14:paraId="1E347583" w14:textId="40B95694" w:rsidR="00BF3E44" w:rsidRPr="004C49D2" w:rsidRDefault="00BF3E44" w:rsidP="004C49D2">
            <w:pPr>
              <w:pStyle w:val="Listenabsatz"/>
              <w:ind w:left="0"/>
              <w:rPr>
                <w:rFonts w:cstheme="minorHAnsi"/>
              </w:rPr>
            </w:pPr>
            <w:r w:rsidRPr="004C49D2">
              <w:rPr>
                <w:rFonts w:cstheme="minorHAnsi"/>
              </w:rPr>
              <w:t>Der Schutzstufenbereich ist aufgeräumt und sa</w:t>
            </w:r>
            <w:r>
              <w:rPr>
                <w:rFonts w:cstheme="minorHAnsi"/>
              </w:rPr>
              <w:t>uber zu halten. Auf den Arbeits</w:t>
            </w:r>
            <w:r w:rsidRPr="004C49D2">
              <w:rPr>
                <w:rFonts w:cstheme="minorHAnsi"/>
              </w:rPr>
              <w:t>flächen sollen nur die tatsächlich benötigten Arbeits</w:t>
            </w:r>
            <w:r>
              <w:rPr>
                <w:rFonts w:cstheme="minorHAnsi"/>
              </w:rPr>
              <w:t>mittel stehen. Der Schutzstufen</w:t>
            </w:r>
            <w:r w:rsidRPr="004C49D2">
              <w:rPr>
                <w:rFonts w:cstheme="minorHAnsi"/>
              </w:rPr>
              <w:t>bereich ist regelmäßig entsprechend den Festlegun</w:t>
            </w:r>
            <w:r>
              <w:rPr>
                <w:rFonts w:cstheme="minorHAnsi"/>
              </w:rPr>
              <w:t>gen des Hygieneplans zu desinfi</w:t>
            </w:r>
            <w:r w:rsidRPr="004C49D2">
              <w:rPr>
                <w:rFonts w:cstheme="minorHAnsi"/>
              </w:rPr>
              <w:t>zieren und zu reinigen.</w:t>
            </w:r>
          </w:p>
        </w:tc>
        <w:sdt>
          <w:sdtPr>
            <w:rPr>
              <w:rFonts w:cstheme="minorHAnsi"/>
            </w:rPr>
            <w:id w:val="-18323668"/>
            <w14:checkbox>
              <w14:checked w14:val="0"/>
              <w14:checkedState w14:val="2612" w14:font="MS Gothic"/>
              <w14:uncheckedState w14:val="2610" w14:font="MS Gothic"/>
            </w14:checkbox>
          </w:sdtPr>
          <w:sdtContent>
            <w:tc>
              <w:tcPr>
                <w:tcW w:w="425" w:type="dxa"/>
                <w:vAlign w:val="center"/>
              </w:tcPr>
              <w:p w14:paraId="5D8CEAE5" w14:textId="77777777" w:rsidR="00BF3E44" w:rsidRPr="004C49D2"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582722068"/>
            <w14:checkbox>
              <w14:checked w14:val="0"/>
              <w14:checkedState w14:val="2612" w14:font="MS Gothic"/>
              <w14:uncheckedState w14:val="2610" w14:font="MS Gothic"/>
            </w14:checkbox>
          </w:sdtPr>
          <w:sdtContent>
            <w:tc>
              <w:tcPr>
                <w:tcW w:w="425" w:type="dxa"/>
                <w:vAlign w:val="center"/>
              </w:tcPr>
              <w:p w14:paraId="021C37E6" w14:textId="77777777" w:rsidR="00BF3E44" w:rsidRPr="004C49D2" w:rsidRDefault="00BF3E44" w:rsidP="00BF3E44">
                <w:pPr>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020CCA4F" w14:textId="77777777" w:rsidR="00BF3E44" w:rsidRPr="004C49D2" w:rsidRDefault="00BF3E44" w:rsidP="00BF3E44">
            <w:pPr>
              <w:jc w:val="center"/>
              <w:rPr>
                <w:rFonts w:cstheme="minorHAnsi"/>
              </w:rPr>
            </w:pPr>
          </w:p>
        </w:tc>
      </w:tr>
      <w:tr w:rsidR="00BF3E44" w:rsidRPr="004C49D2" w14:paraId="0C6DBFDE" w14:textId="77777777" w:rsidTr="00BF3E44">
        <w:trPr>
          <w:gridAfter w:val="1"/>
          <w:wAfter w:w="6" w:type="dxa"/>
        </w:trPr>
        <w:tc>
          <w:tcPr>
            <w:tcW w:w="9493" w:type="dxa"/>
            <w:shd w:val="clear" w:color="auto" w:fill="auto"/>
            <w:vAlign w:val="center"/>
          </w:tcPr>
          <w:p w14:paraId="58FFBF08" w14:textId="77777777" w:rsidR="00BF3E44" w:rsidRPr="007158F7" w:rsidRDefault="00BF3E44" w:rsidP="00CB7282">
            <w:pPr>
              <w:pStyle w:val="Default"/>
              <w:keepNext/>
              <w:keepLines/>
              <w:rPr>
                <w:rFonts w:asciiTheme="minorHAnsi" w:hAnsiTheme="minorHAnsi" w:cstheme="minorHAnsi"/>
                <w:b/>
                <w:sz w:val="22"/>
                <w:szCs w:val="22"/>
              </w:rPr>
            </w:pPr>
            <w:r w:rsidRPr="007158F7">
              <w:rPr>
                <w:rFonts w:asciiTheme="minorHAnsi" w:hAnsiTheme="minorHAnsi" w:cstheme="minorHAnsi"/>
                <w:b/>
                <w:sz w:val="22"/>
                <w:szCs w:val="22"/>
              </w:rPr>
              <w:t>(34) Augenduschen</w:t>
            </w:r>
          </w:p>
          <w:p w14:paraId="66507E48" w14:textId="77777777" w:rsidR="00BF3E44" w:rsidRPr="004C49D2" w:rsidRDefault="00BF3E44" w:rsidP="00CB7282">
            <w:pPr>
              <w:pStyle w:val="Default"/>
              <w:keepNext/>
              <w:keepLines/>
              <w:rPr>
                <w:rFonts w:asciiTheme="minorHAnsi" w:hAnsiTheme="minorHAnsi" w:cstheme="minorHAnsi"/>
                <w:sz w:val="22"/>
                <w:szCs w:val="22"/>
              </w:rPr>
            </w:pPr>
            <w:r w:rsidRPr="004C49D2">
              <w:rPr>
                <w:rFonts w:asciiTheme="minorHAnsi" w:hAnsiTheme="minorHAnsi" w:cstheme="minorHAnsi"/>
                <w:sz w:val="22"/>
                <w:szCs w:val="22"/>
              </w:rPr>
              <w:t xml:space="preserve"> Im Laboratorium sind geeignete Möglichkeiten zur Augenspülung vorzuhalten. </w:t>
            </w:r>
          </w:p>
          <w:p w14:paraId="39096AF8" w14:textId="77777777" w:rsidR="00BF3E44" w:rsidRPr="004C49D2" w:rsidRDefault="00BF3E44" w:rsidP="00CB7282">
            <w:pPr>
              <w:pStyle w:val="Listenabsatz"/>
              <w:keepNext/>
              <w:keepLines/>
              <w:ind w:left="0"/>
              <w:rPr>
                <w:rFonts w:cstheme="minorHAnsi"/>
              </w:rPr>
            </w:pPr>
            <w:r w:rsidRPr="004C49D2">
              <w:rPr>
                <w:rFonts w:cstheme="minorHAnsi"/>
                <w:b/>
                <w:bCs/>
                <w:i/>
                <w:iCs/>
              </w:rPr>
              <w:t xml:space="preserve">Hinweis: </w:t>
            </w:r>
            <w:r w:rsidRPr="004C49D2">
              <w:rPr>
                <w:rFonts w:cstheme="minorHAnsi"/>
                <w:i/>
                <w:iCs/>
              </w:rPr>
              <w:t>Augenspülflaschen nach DIN 12930 sind hier aus infektionspräventiven Gründen einer festinstallierten Augendusche vorzuziehen.</w:t>
            </w:r>
          </w:p>
        </w:tc>
        <w:sdt>
          <w:sdtPr>
            <w:rPr>
              <w:rFonts w:cstheme="minorHAnsi"/>
            </w:rPr>
            <w:id w:val="796177994"/>
            <w14:checkbox>
              <w14:checked w14:val="0"/>
              <w14:checkedState w14:val="2612" w14:font="MS Gothic"/>
              <w14:uncheckedState w14:val="2610" w14:font="MS Gothic"/>
            </w14:checkbox>
          </w:sdtPr>
          <w:sdtContent>
            <w:tc>
              <w:tcPr>
                <w:tcW w:w="425" w:type="dxa"/>
                <w:vAlign w:val="center"/>
              </w:tcPr>
              <w:p w14:paraId="39598BA1" w14:textId="77777777" w:rsidR="00BF3E44" w:rsidRPr="004C49D2" w:rsidRDefault="00BF3E44" w:rsidP="00BF3E44">
                <w:pPr>
                  <w:keepNext/>
                  <w:keepLines/>
                  <w:jc w:val="center"/>
                  <w:rPr>
                    <w:rFonts w:cstheme="minorHAnsi"/>
                  </w:rPr>
                </w:pPr>
                <w:r>
                  <w:rPr>
                    <w:rFonts w:ascii="MS Gothic" w:eastAsia="MS Gothic" w:hAnsi="MS Gothic" w:cstheme="minorHAnsi" w:hint="eastAsia"/>
                  </w:rPr>
                  <w:t>☐</w:t>
                </w:r>
              </w:p>
            </w:tc>
          </w:sdtContent>
        </w:sdt>
        <w:sdt>
          <w:sdtPr>
            <w:rPr>
              <w:rFonts w:cstheme="minorHAnsi"/>
            </w:rPr>
            <w:id w:val="-1983681391"/>
            <w14:checkbox>
              <w14:checked w14:val="0"/>
              <w14:checkedState w14:val="2612" w14:font="MS Gothic"/>
              <w14:uncheckedState w14:val="2610" w14:font="MS Gothic"/>
            </w14:checkbox>
          </w:sdtPr>
          <w:sdtContent>
            <w:tc>
              <w:tcPr>
                <w:tcW w:w="425" w:type="dxa"/>
                <w:vAlign w:val="center"/>
              </w:tcPr>
              <w:p w14:paraId="3B4E69AB" w14:textId="77777777" w:rsidR="00BF3E44" w:rsidRPr="004C49D2" w:rsidRDefault="00BF3E44" w:rsidP="00BF3E44">
                <w:pPr>
                  <w:keepNext/>
                  <w:keepLines/>
                  <w:jc w:val="center"/>
                  <w:rPr>
                    <w:rFonts w:cstheme="minorHAnsi"/>
                  </w:rPr>
                </w:pPr>
                <w:r w:rsidRPr="004C49D2">
                  <w:rPr>
                    <w:rFonts w:ascii="Segoe UI Symbol" w:eastAsia="MS Gothic" w:hAnsi="Segoe UI Symbol" w:cs="Segoe UI Symbol"/>
                  </w:rPr>
                  <w:t>☐</w:t>
                </w:r>
              </w:p>
            </w:tc>
          </w:sdtContent>
        </w:sdt>
        <w:tc>
          <w:tcPr>
            <w:tcW w:w="2947" w:type="dxa"/>
            <w:gridSpan w:val="2"/>
            <w:shd w:val="clear" w:color="auto" w:fill="auto"/>
            <w:vAlign w:val="center"/>
          </w:tcPr>
          <w:p w14:paraId="783460AD" w14:textId="77777777" w:rsidR="00BF3E44" w:rsidRPr="004C49D2" w:rsidRDefault="00BF3E44" w:rsidP="00BF3E44">
            <w:pPr>
              <w:keepNext/>
              <w:keepLines/>
              <w:jc w:val="center"/>
              <w:rPr>
                <w:rFonts w:cstheme="minorHAnsi"/>
              </w:rPr>
            </w:pPr>
          </w:p>
        </w:tc>
      </w:tr>
      <w:tr w:rsidR="00BF3E44" w:rsidRPr="00363040" w14:paraId="1C9C9A4D" w14:textId="77777777" w:rsidTr="00BF3E44">
        <w:trPr>
          <w:gridAfter w:val="1"/>
          <w:wAfter w:w="6" w:type="dxa"/>
        </w:trPr>
        <w:tc>
          <w:tcPr>
            <w:tcW w:w="9493" w:type="dxa"/>
            <w:shd w:val="clear" w:color="auto" w:fill="D9D9D9" w:themeFill="background1" w:themeFillShade="D9"/>
            <w:vAlign w:val="center"/>
          </w:tcPr>
          <w:p w14:paraId="52A5F961" w14:textId="27AA5A8E" w:rsidR="00BF3E44" w:rsidRPr="00363040" w:rsidRDefault="00BF3E44" w:rsidP="00363040">
            <w:pPr>
              <w:pStyle w:val="Listenabsatz"/>
              <w:ind w:left="0"/>
              <w:rPr>
                <w:b/>
                <w:color w:val="000000" w:themeColor="text1"/>
              </w:rPr>
            </w:pPr>
            <w:r w:rsidRPr="00363040">
              <w:rPr>
                <w:b/>
                <w:color w:val="000000" w:themeColor="text1"/>
              </w:rPr>
              <w:t>Persönliche Schutzausrüstung</w:t>
            </w:r>
            <w:r>
              <w:rPr>
                <w:b/>
                <w:color w:val="000000" w:themeColor="text1"/>
              </w:rPr>
              <w:t xml:space="preserve">/ - </w:t>
            </w:r>
            <w:proofErr w:type="spellStart"/>
            <w:r>
              <w:rPr>
                <w:b/>
                <w:color w:val="000000" w:themeColor="text1"/>
              </w:rPr>
              <w:t>maßnahmen</w:t>
            </w:r>
            <w:proofErr w:type="spellEnd"/>
          </w:p>
        </w:tc>
        <w:tc>
          <w:tcPr>
            <w:tcW w:w="425" w:type="dxa"/>
            <w:shd w:val="clear" w:color="auto" w:fill="D9D9D9" w:themeFill="background1" w:themeFillShade="D9"/>
            <w:vAlign w:val="center"/>
          </w:tcPr>
          <w:p w14:paraId="445CD36F" w14:textId="77777777" w:rsidR="00BF3E44" w:rsidRPr="00363040" w:rsidRDefault="00BF3E44" w:rsidP="00BF3E44">
            <w:pPr>
              <w:jc w:val="center"/>
              <w:rPr>
                <w:rFonts w:cstheme="minorHAnsi"/>
                <w:b/>
              </w:rPr>
            </w:pPr>
          </w:p>
        </w:tc>
        <w:tc>
          <w:tcPr>
            <w:tcW w:w="425" w:type="dxa"/>
            <w:shd w:val="clear" w:color="auto" w:fill="D9D9D9" w:themeFill="background1" w:themeFillShade="D9"/>
            <w:vAlign w:val="center"/>
          </w:tcPr>
          <w:p w14:paraId="382810F5" w14:textId="77777777" w:rsidR="00BF3E44" w:rsidRPr="00363040" w:rsidRDefault="00BF3E44" w:rsidP="00BF3E44">
            <w:pPr>
              <w:jc w:val="center"/>
              <w:rPr>
                <w:rFonts w:cstheme="minorHAnsi"/>
                <w:b/>
              </w:rPr>
            </w:pPr>
          </w:p>
        </w:tc>
        <w:tc>
          <w:tcPr>
            <w:tcW w:w="2947" w:type="dxa"/>
            <w:gridSpan w:val="2"/>
            <w:shd w:val="clear" w:color="auto" w:fill="D9D9D9" w:themeFill="background1" w:themeFillShade="D9"/>
            <w:vAlign w:val="center"/>
          </w:tcPr>
          <w:p w14:paraId="70CDA76B" w14:textId="77777777" w:rsidR="00BF3E44" w:rsidRPr="00363040" w:rsidRDefault="00BF3E44" w:rsidP="00BF3E44">
            <w:pPr>
              <w:jc w:val="center"/>
              <w:rPr>
                <w:rFonts w:cstheme="minorHAnsi"/>
                <w:b/>
              </w:rPr>
            </w:pPr>
          </w:p>
        </w:tc>
      </w:tr>
      <w:tr w:rsidR="00BF3E44" w:rsidRPr="004C49D2" w14:paraId="1A678FA0" w14:textId="77777777" w:rsidTr="00BF3E44">
        <w:trPr>
          <w:gridAfter w:val="1"/>
          <w:wAfter w:w="6" w:type="dxa"/>
        </w:trPr>
        <w:tc>
          <w:tcPr>
            <w:tcW w:w="9493" w:type="dxa"/>
            <w:shd w:val="clear" w:color="auto" w:fill="auto"/>
            <w:vAlign w:val="center"/>
          </w:tcPr>
          <w:p w14:paraId="6FB1FC88" w14:textId="0EB2DBB9" w:rsidR="00BF3E44" w:rsidRDefault="00BF3E44" w:rsidP="00363040">
            <w:pPr>
              <w:pStyle w:val="Listenabsatz"/>
              <w:ind w:left="22"/>
              <w:rPr>
                <w:color w:val="000000" w:themeColor="text1"/>
              </w:rPr>
            </w:pPr>
            <w:r w:rsidRPr="00363040">
              <w:rPr>
                <w:color w:val="000000" w:themeColor="text1"/>
              </w:rPr>
              <w:lastRenderedPageBreak/>
              <w:t>(35) In der Schleuse ist die für die Schutzstufe 3 vorgesehene Schutzkleidung und</w:t>
            </w:r>
            <w:r>
              <w:rPr>
                <w:color w:val="000000" w:themeColor="text1"/>
              </w:rPr>
              <w:t xml:space="preserve"> </w:t>
            </w:r>
            <w:r w:rsidRPr="00363040">
              <w:rPr>
                <w:color w:val="000000" w:themeColor="text1"/>
              </w:rPr>
              <w:t>persönliche Schutzausrüstung anzulegen und nach Beendigung der Tätigkeit abzulegen.</w:t>
            </w:r>
            <w:r>
              <w:rPr>
                <w:color w:val="000000" w:themeColor="text1"/>
              </w:rPr>
              <w:t xml:space="preserve"> </w:t>
            </w:r>
            <w:r w:rsidRPr="00363040">
              <w:rPr>
                <w:color w:val="000000" w:themeColor="text1"/>
              </w:rPr>
              <w:t>Diese umfassen mindestens einen Rückenschlusskittel mit Kennzeichnung,</w:t>
            </w:r>
            <w:r>
              <w:rPr>
                <w:color w:val="000000" w:themeColor="text1"/>
              </w:rPr>
              <w:t xml:space="preserve"> </w:t>
            </w:r>
            <w:r w:rsidRPr="00363040">
              <w:rPr>
                <w:color w:val="000000" w:themeColor="text1"/>
              </w:rPr>
              <w:t>(z.B. farblich abgesetzt zu den in anderen Schutzstufenbereichen getragenen</w:t>
            </w:r>
            <w:r>
              <w:rPr>
                <w:color w:val="000000" w:themeColor="text1"/>
              </w:rPr>
              <w:t xml:space="preserve"> </w:t>
            </w:r>
            <w:r w:rsidRPr="00363040">
              <w:rPr>
                <w:color w:val="000000" w:themeColor="text1"/>
              </w:rPr>
              <w:t>Schutzkitteln), geschlossene Schuhe und geeignete Schutzhandschuhe (und mit einem</w:t>
            </w:r>
            <w:r>
              <w:rPr>
                <w:color w:val="000000" w:themeColor="text1"/>
              </w:rPr>
              <w:t xml:space="preserve"> </w:t>
            </w:r>
            <w:r w:rsidRPr="00363040">
              <w:rPr>
                <w:color w:val="000000" w:themeColor="text1"/>
              </w:rPr>
              <w:t xml:space="preserve">AQL-Wert </w:t>
            </w:r>
            <w:r>
              <w:rPr>
                <w:rFonts w:cstheme="minorHAnsi"/>
                <w:color w:val="000000" w:themeColor="text1"/>
              </w:rPr>
              <w:t>≤</w:t>
            </w:r>
            <w:r>
              <w:rPr>
                <w:color w:val="000000" w:themeColor="text1"/>
              </w:rPr>
              <w:t xml:space="preserve"> </w:t>
            </w:r>
            <w:r w:rsidRPr="00363040">
              <w:rPr>
                <w:color w:val="000000" w:themeColor="text1"/>
              </w:rPr>
              <w:t>1.5). In Abhängigkeit vom Ergebnis der Gefährdungsbeurteilung</w:t>
            </w:r>
            <w:r>
              <w:rPr>
                <w:color w:val="000000" w:themeColor="text1"/>
              </w:rPr>
              <w:t xml:space="preserve"> </w:t>
            </w:r>
            <w:r w:rsidRPr="00363040">
              <w:rPr>
                <w:color w:val="000000" w:themeColor="text1"/>
              </w:rPr>
              <w:t>können auch Mundschutz (Berührungsschutz) oder Atemschutz sowie Augenschutz</w:t>
            </w:r>
            <w:r>
              <w:rPr>
                <w:color w:val="000000" w:themeColor="text1"/>
              </w:rPr>
              <w:t xml:space="preserve"> </w:t>
            </w:r>
            <w:r w:rsidRPr="00363040">
              <w:rPr>
                <w:color w:val="000000" w:themeColor="text1"/>
              </w:rPr>
              <w:t>(Spritzschutz) erforderlich sein.</w:t>
            </w:r>
          </w:p>
        </w:tc>
        <w:sdt>
          <w:sdtPr>
            <w:rPr>
              <w:rFonts w:cstheme="minorHAnsi"/>
            </w:rPr>
            <w:id w:val="-1380089418"/>
            <w14:checkbox>
              <w14:checked w14:val="0"/>
              <w14:checkedState w14:val="2612" w14:font="MS Gothic"/>
              <w14:uncheckedState w14:val="2610" w14:font="MS Gothic"/>
            </w14:checkbox>
          </w:sdtPr>
          <w:sdtContent>
            <w:tc>
              <w:tcPr>
                <w:tcW w:w="425" w:type="dxa"/>
                <w:vAlign w:val="center"/>
              </w:tcPr>
              <w:p w14:paraId="1A31E5F8" w14:textId="2C15E614" w:rsidR="00BF3E44"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461038343"/>
            <w14:checkbox>
              <w14:checked w14:val="0"/>
              <w14:checkedState w14:val="2612" w14:font="MS Gothic"/>
              <w14:uncheckedState w14:val="2610" w14:font="MS Gothic"/>
            </w14:checkbox>
          </w:sdtPr>
          <w:sdtContent>
            <w:tc>
              <w:tcPr>
                <w:tcW w:w="425" w:type="dxa"/>
                <w:vAlign w:val="center"/>
              </w:tcPr>
              <w:p w14:paraId="0750189D" w14:textId="6EEF10C2" w:rsidR="00BF3E44" w:rsidRDefault="00BF3E44" w:rsidP="00BF3E44">
                <w:pPr>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203B34DC" w14:textId="77777777" w:rsidR="00BF3E44" w:rsidRPr="004C49D2" w:rsidRDefault="00BF3E44" w:rsidP="00BF3E44">
            <w:pPr>
              <w:jc w:val="center"/>
              <w:rPr>
                <w:rFonts w:cstheme="minorHAnsi"/>
              </w:rPr>
            </w:pPr>
          </w:p>
        </w:tc>
      </w:tr>
      <w:tr w:rsidR="00BF3E44" w:rsidRPr="004C49D2" w14:paraId="2BF38A65" w14:textId="77777777" w:rsidTr="00BF3E44">
        <w:trPr>
          <w:gridAfter w:val="1"/>
          <w:wAfter w:w="6" w:type="dxa"/>
        </w:trPr>
        <w:tc>
          <w:tcPr>
            <w:tcW w:w="9493" w:type="dxa"/>
            <w:shd w:val="clear" w:color="auto" w:fill="auto"/>
            <w:vAlign w:val="center"/>
          </w:tcPr>
          <w:p w14:paraId="1DBA9F89" w14:textId="3D3E0D47" w:rsidR="00BF3E44" w:rsidRPr="00363040" w:rsidRDefault="00BF3E44" w:rsidP="00363040">
            <w:pPr>
              <w:pStyle w:val="Listenabsatz"/>
              <w:ind w:left="22"/>
              <w:rPr>
                <w:color w:val="000000" w:themeColor="text1"/>
              </w:rPr>
            </w:pPr>
            <w:r w:rsidRPr="00363040">
              <w:rPr>
                <w:color w:val="000000" w:themeColor="text1"/>
              </w:rPr>
              <w:t>Durch Einrichtung entsprechender Bereiche in der Schleuse ist zu gewährleisten,</w:t>
            </w:r>
            <w:r>
              <w:rPr>
                <w:color w:val="000000" w:themeColor="text1"/>
              </w:rPr>
              <w:t xml:space="preserve"> </w:t>
            </w:r>
            <w:r w:rsidRPr="00363040">
              <w:rPr>
                <w:color w:val="000000" w:themeColor="text1"/>
              </w:rPr>
              <w:t>dass getragene Schutzkleidung getrennt von sonstiger Laborkleidung aufbewahrt</w:t>
            </w:r>
            <w:r>
              <w:rPr>
                <w:color w:val="000000" w:themeColor="text1"/>
              </w:rPr>
              <w:t xml:space="preserve"> </w:t>
            </w:r>
            <w:r w:rsidRPr="00363040">
              <w:rPr>
                <w:color w:val="000000" w:themeColor="text1"/>
              </w:rPr>
              <w:t>wird. Für benutzte, zur Desinfektion und Reinigung vorgesehene Schutzkleidung sowie</w:t>
            </w:r>
            <w:r>
              <w:rPr>
                <w:color w:val="000000" w:themeColor="text1"/>
              </w:rPr>
              <w:t xml:space="preserve"> </w:t>
            </w:r>
            <w:r w:rsidRPr="00363040">
              <w:rPr>
                <w:color w:val="000000" w:themeColor="text1"/>
              </w:rPr>
              <w:t xml:space="preserve">für gebrauchte persönliche Schutzausrüstung sind geeignete, </w:t>
            </w:r>
            <w:proofErr w:type="spellStart"/>
            <w:r w:rsidRPr="00363040">
              <w:rPr>
                <w:color w:val="000000" w:themeColor="text1"/>
              </w:rPr>
              <w:t>dekontaminierbare</w:t>
            </w:r>
            <w:proofErr w:type="spellEnd"/>
            <w:r>
              <w:rPr>
                <w:color w:val="000000" w:themeColor="text1"/>
              </w:rPr>
              <w:t xml:space="preserve"> </w:t>
            </w:r>
            <w:r w:rsidRPr="00363040">
              <w:rPr>
                <w:color w:val="000000" w:themeColor="text1"/>
              </w:rPr>
              <w:t>Sammelbehälter in der Schleuse bereit zu stellen.</w:t>
            </w:r>
          </w:p>
        </w:tc>
        <w:sdt>
          <w:sdtPr>
            <w:rPr>
              <w:rFonts w:cstheme="minorHAnsi"/>
            </w:rPr>
            <w:id w:val="1845978608"/>
            <w14:checkbox>
              <w14:checked w14:val="0"/>
              <w14:checkedState w14:val="2612" w14:font="MS Gothic"/>
              <w14:uncheckedState w14:val="2610" w14:font="MS Gothic"/>
            </w14:checkbox>
          </w:sdtPr>
          <w:sdtContent>
            <w:tc>
              <w:tcPr>
                <w:tcW w:w="425" w:type="dxa"/>
                <w:vAlign w:val="center"/>
              </w:tcPr>
              <w:p w14:paraId="1B86FE19" w14:textId="4127EAB4" w:rsidR="00BF3E44"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172503121"/>
            <w14:checkbox>
              <w14:checked w14:val="0"/>
              <w14:checkedState w14:val="2612" w14:font="MS Gothic"/>
              <w14:uncheckedState w14:val="2610" w14:font="MS Gothic"/>
            </w14:checkbox>
          </w:sdtPr>
          <w:sdtContent>
            <w:tc>
              <w:tcPr>
                <w:tcW w:w="425" w:type="dxa"/>
                <w:vAlign w:val="center"/>
              </w:tcPr>
              <w:p w14:paraId="24CEC8D2" w14:textId="289B983D" w:rsidR="00BF3E44" w:rsidRDefault="00BF3E44" w:rsidP="00BF3E44">
                <w:pPr>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51C5CA6D" w14:textId="77777777" w:rsidR="00BF3E44" w:rsidRPr="004C49D2" w:rsidRDefault="00BF3E44" w:rsidP="00BF3E44">
            <w:pPr>
              <w:jc w:val="center"/>
              <w:rPr>
                <w:rFonts w:cstheme="minorHAnsi"/>
              </w:rPr>
            </w:pPr>
          </w:p>
        </w:tc>
      </w:tr>
      <w:tr w:rsidR="00BF3E44" w:rsidRPr="004C49D2" w14:paraId="2DB08459" w14:textId="77777777" w:rsidTr="00BF3E44">
        <w:trPr>
          <w:gridAfter w:val="1"/>
          <w:wAfter w:w="6" w:type="dxa"/>
        </w:trPr>
        <w:tc>
          <w:tcPr>
            <w:tcW w:w="9493" w:type="dxa"/>
            <w:shd w:val="clear" w:color="auto" w:fill="auto"/>
          </w:tcPr>
          <w:p w14:paraId="4D8C3478" w14:textId="77777777" w:rsidR="00BF3E44" w:rsidRPr="00642210" w:rsidRDefault="00BF3E44" w:rsidP="00A70AA2">
            <w:pPr>
              <w:pStyle w:val="Listenabsatz"/>
              <w:ind w:left="22"/>
              <w:rPr>
                <w:color w:val="000000" w:themeColor="text1"/>
              </w:rPr>
            </w:pPr>
            <w:r>
              <w:t>An Händen und Unterarmen dürfen keine Schmuckstücke, Uhren und Eheringe getragen werden, um eine effiziente hygienische Händedesinfektion zu gewährleisten und die Schutzfunktion der Handschuhe zu gewährleisten. Fingernägel müssen kurzgeschnitten sein.</w:t>
            </w:r>
          </w:p>
        </w:tc>
        <w:sdt>
          <w:sdtPr>
            <w:rPr>
              <w:rFonts w:cstheme="minorHAnsi"/>
            </w:rPr>
            <w:id w:val="-1009140453"/>
            <w14:checkbox>
              <w14:checked w14:val="0"/>
              <w14:checkedState w14:val="2612" w14:font="MS Gothic"/>
              <w14:uncheckedState w14:val="2610" w14:font="MS Gothic"/>
            </w14:checkbox>
          </w:sdtPr>
          <w:sdtContent>
            <w:tc>
              <w:tcPr>
                <w:tcW w:w="425" w:type="dxa"/>
                <w:vAlign w:val="center"/>
              </w:tcPr>
              <w:p w14:paraId="16C5BE15" w14:textId="3B3CF80B" w:rsidR="00BF3E44" w:rsidRDefault="00BF3E44" w:rsidP="00BF3E44">
                <w:pPr>
                  <w:jc w:val="center"/>
                  <w:rPr>
                    <w:rFonts w:cstheme="minorHAnsi"/>
                  </w:rPr>
                </w:pPr>
                <w:r>
                  <w:rPr>
                    <w:rFonts w:ascii="MS Gothic" w:eastAsia="MS Gothic" w:hAnsi="MS Gothic" w:cstheme="minorHAnsi" w:hint="eastAsia"/>
                  </w:rPr>
                  <w:t>☐</w:t>
                </w:r>
              </w:p>
            </w:tc>
          </w:sdtContent>
        </w:sdt>
        <w:sdt>
          <w:sdtPr>
            <w:rPr>
              <w:rFonts w:cstheme="minorHAnsi"/>
            </w:rPr>
            <w:id w:val="-420878492"/>
            <w14:checkbox>
              <w14:checked w14:val="0"/>
              <w14:checkedState w14:val="2612" w14:font="MS Gothic"/>
              <w14:uncheckedState w14:val="2610" w14:font="MS Gothic"/>
            </w14:checkbox>
          </w:sdtPr>
          <w:sdtContent>
            <w:tc>
              <w:tcPr>
                <w:tcW w:w="425" w:type="dxa"/>
                <w:vAlign w:val="center"/>
              </w:tcPr>
              <w:p w14:paraId="3B19E0FA" w14:textId="4D33231C" w:rsidR="00BF3E44" w:rsidRDefault="00BF3E44" w:rsidP="00BF3E44">
                <w:pPr>
                  <w:jc w:val="center"/>
                  <w:rPr>
                    <w:rFonts w:cstheme="minorHAnsi"/>
                  </w:rPr>
                </w:pPr>
                <w:r>
                  <w:rPr>
                    <w:rFonts w:ascii="MS Gothic" w:eastAsia="MS Gothic" w:hAnsi="MS Gothic" w:cstheme="minorHAnsi" w:hint="eastAsia"/>
                  </w:rPr>
                  <w:t>☐</w:t>
                </w:r>
              </w:p>
            </w:tc>
          </w:sdtContent>
        </w:sdt>
        <w:tc>
          <w:tcPr>
            <w:tcW w:w="2947" w:type="dxa"/>
            <w:gridSpan w:val="2"/>
            <w:shd w:val="clear" w:color="auto" w:fill="auto"/>
            <w:vAlign w:val="center"/>
          </w:tcPr>
          <w:p w14:paraId="17E0FF58" w14:textId="77777777" w:rsidR="00BF3E44" w:rsidRPr="004C49D2" w:rsidRDefault="00BF3E44" w:rsidP="00BF3E44">
            <w:pPr>
              <w:jc w:val="center"/>
              <w:rPr>
                <w:rFonts w:cstheme="minorHAnsi"/>
              </w:rPr>
            </w:pPr>
          </w:p>
        </w:tc>
      </w:tr>
    </w:tbl>
    <w:p w14:paraId="2F0E934B" w14:textId="77777777" w:rsidR="00E645DA" w:rsidRPr="004C49D2" w:rsidRDefault="00E645DA" w:rsidP="00C571B5">
      <w:pPr>
        <w:spacing w:after="0"/>
        <w:rPr>
          <w:rFonts w:cstheme="minorHAnsi"/>
          <w:b/>
        </w:rPr>
      </w:pPr>
    </w:p>
    <w:sectPr w:rsidR="00E645DA" w:rsidRPr="004C49D2" w:rsidSect="00861D90">
      <w:headerReference w:type="default" r:id="rId8"/>
      <w:footerReference w:type="default" r:id="rId9"/>
      <w:pgSz w:w="16838" w:h="11906" w:orient="landscape"/>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6612" w14:textId="77777777" w:rsidR="000A35BA" w:rsidRDefault="000A35BA" w:rsidP="00E727E2">
      <w:pPr>
        <w:spacing w:after="0" w:line="240" w:lineRule="auto"/>
      </w:pPr>
      <w:r>
        <w:separator/>
      </w:r>
    </w:p>
  </w:endnote>
  <w:endnote w:type="continuationSeparator" w:id="0">
    <w:p w14:paraId="6D6F13E4" w14:textId="77777777" w:rsidR="000A35BA" w:rsidRDefault="000A35BA"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51" w:type="pct"/>
      <w:tblBorders>
        <w:top w:val="single" w:sz="4" w:space="0" w:color="auto"/>
      </w:tblBorders>
      <w:tblCellMar>
        <w:left w:w="70" w:type="dxa"/>
        <w:right w:w="70" w:type="dxa"/>
      </w:tblCellMar>
      <w:tblLook w:val="0000" w:firstRow="0" w:lastRow="0" w:firstColumn="0" w:lastColumn="0" w:noHBand="0" w:noVBand="0"/>
    </w:tblPr>
    <w:tblGrid>
      <w:gridCol w:w="3499"/>
      <w:gridCol w:w="2043"/>
      <w:gridCol w:w="5381"/>
      <w:gridCol w:w="3502"/>
    </w:tblGrid>
    <w:tr w:rsidR="00F079D3" w14:paraId="65031AFF" w14:textId="77777777" w:rsidTr="000A1425">
      <w:tc>
        <w:tcPr>
          <w:tcW w:w="1213" w:type="pct"/>
        </w:tcPr>
        <w:p w14:paraId="6D02AFD3" w14:textId="12F2AE7B" w:rsidR="00F079D3" w:rsidRPr="008A4C40" w:rsidRDefault="00C571B5" w:rsidP="00F079D3">
          <w:pPr>
            <w:pStyle w:val="Fuzeile"/>
            <w:widowControl w:val="0"/>
            <w:rPr>
              <w:rFonts w:ascii="Arial" w:hAnsi="Arial" w:cs="Arial"/>
              <w:lang w:val="en-US"/>
            </w:rPr>
          </w:pPr>
          <w:r>
            <w:rPr>
              <w:rFonts w:ascii="Arial" w:hAnsi="Arial" w:cs="Arial"/>
            </w:rPr>
            <w:t>7</w:t>
          </w:r>
          <w:r w:rsidR="00F079D3">
            <w:rPr>
              <w:rFonts w:ascii="Arial" w:hAnsi="Arial" w:cs="Arial"/>
            </w:rPr>
            <w:t xml:space="preserve">Datum: </w:t>
          </w:r>
        </w:p>
      </w:tc>
      <w:tc>
        <w:tcPr>
          <w:tcW w:w="708" w:type="pct"/>
        </w:tcPr>
        <w:p w14:paraId="1B2035AE" w14:textId="259F9467" w:rsidR="00F079D3" w:rsidRDefault="004877F6" w:rsidP="00554C7C">
          <w:pPr>
            <w:pStyle w:val="Fuzeile"/>
            <w:widowControl w:val="0"/>
            <w:rPr>
              <w:rFonts w:ascii="Arial" w:hAnsi="Arial" w:cs="Arial"/>
            </w:rPr>
          </w:pPr>
          <w:r>
            <w:rPr>
              <w:rFonts w:ascii="Arial" w:hAnsi="Arial" w:cs="Arial"/>
            </w:rPr>
            <w:t>Anlass</w:t>
          </w:r>
          <w:r w:rsidR="00F079D3">
            <w:rPr>
              <w:rFonts w:ascii="Arial" w:hAnsi="Arial" w:cs="Arial"/>
            </w:rPr>
            <w:t>:</w:t>
          </w:r>
        </w:p>
      </w:tc>
      <w:tc>
        <w:tcPr>
          <w:tcW w:w="1865" w:type="pct"/>
        </w:tcPr>
        <w:p w14:paraId="3DB809C9" w14:textId="77777777" w:rsidR="00F079D3" w:rsidRDefault="00F079D3" w:rsidP="00F079D3">
          <w:pPr>
            <w:pStyle w:val="Fuzeile"/>
            <w:widowControl w:val="0"/>
            <w:rPr>
              <w:rFonts w:ascii="Arial" w:hAnsi="Arial" w:cs="Arial"/>
            </w:rPr>
          </w:pPr>
        </w:p>
      </w:tc>
      <w:tc>
        <w:tcPr>
          <w:tcW w:w="1214" w:type="pct"/>
        </w:tcPr>
        <w:p w14:paraId="585C38FD" w14:textId="301AADE3" w:rsidR="00F079D3" w:rsidRDefault="000A1425" w:rsidP="00560688">
          <w:pPr>
            <w:pStyle w:val="Fuzeile"/>
            <w:widowControl w:val="0"/>
            <w:jc w:val="right"/>
            <w:rPr>
              <w:rFonts w:ascii="Arial" w:hAnsi="Arial" w:cs="Arial"/>
            </w:rPr>
          </w:pPr>
          <w:r>
            <w:rPr>
              <w:rFonts w:ascii="Arial" w:hAnsi="Arial" w:cs="Arial"/>
            </w:rPr>
            <w:t>Stand:</w:t>
          </w:r>
          <w:r w:rsidR="00C571B5">
            <w:rPr>
              <w:rFonts w:ascii="Arial" w:hAnsi="Arial" w:cs="Arial"/>
            </w:rPr>
            <w:t>07</w:t>
          </w:r>
          <w:r>
            <w:rPr>
              <w:rFonts w:ascii="Arial" w:hAnsi="Arial" w:cs="Arial"/>
            </w:rPr>
            <w:t>.0</w:t>
          </w:r>
          <w:r w:rsidR="00C571B5">
            <w:rPr>
              <w:rFonts w:ascii="Arial" w:hAnsi="Arial" w:cs="Arial"/>
            </w:rPr>
            <w:t>6</w:t>
          </w:r>
          <w:r>
            <w:rPr>
              <w:rFonts w:ascii="Arial" w:hAnsi="Arial" w:cs="Arial"/>
            </w:rPr>
            <w:t>.202</w:t>
          </w:r>
          <w:r w:rsidR="00E940CB">
            <w:rPr>
              <w:rFonts w:ascii="Arial" w:hAnsi="Arial" w:cs="Arial"/>
            </w:rPr>
            <w:t>3</w:t>
          </w:r>
        </w:p>
      </w:tc>
    </w:tr>
    <w:tr w:rsidR="00F079D3" w14:paraId="721F08C3" w14:textId="77777777" w:rsidTr="000A1425">
      <w:tc>
        <w:tcPr>
          <w:tcW w:w="1213" w:type="pct"/>
        </w:tcPr>
        <w:p w14:paraId="432FA7B7" w14:textId="77777777" w:rsidR="00F079D3" w:rsidRPr="00947B11" w:rsidRDefault="00F079D3" w:rsidP="00F079D3">
          <w:pPr>
            <w:pStyle w:val="Fuzeile"/>
            <w:widowControl w:val="0"/>
            <w:rPr>
              <w:rFonts w:ascii="Arial" w:hAnsi="Arial" w:cs="Arial"/>
            </w:rPr>
          </w:pPr>
          <w:r>
            <w:rPr>
              <w:rFonts w:ascii="Arial" w:hAnsi="Arial" w:cs="Arial"/>
            </w:rPr>
            <w:t>Erstellt von:</w:t>
          </w:r>
        </w:p>
      </w:tc>
      <w:tc>
        <w:tcPr>
          <w:tcW w:w="708" w:type="pct"/>
        </w:tcPr>
        <w:p w14:paraId="1641F3B8" w14:textId="77777777" w:rsidR="00F079D3" w:rsidRDefault="00F079D3" w:rsidP="00F079D3">
          <w:pPr>
            <w:pStyle w:val="Fuzeile"/>
            <w:widowControl w:val="0"/>
            <w:rPr>
              <w:rFonts w:ascii="Arial" w:hAnsi="Arial" w:cs="Arial"/>
            </w:rPr>
          </w:pPr>
          <w:r>
            <w:rPr>
              <w:rFonts w:ascii="Arial" w:hAnsi="Arial" w:cs="Arial"/>
            </w:rPr>
            <w:t>Anwesend:</w:t>
          </w:r>
        </w:p>
      </w:tc>
      <w:tc>
        <w:tcPr>
          <w:tcW w:w="1865" w:type="pct"/>
        </w:tcPr>
        <w:p w14:paraId="7B2FA452" w14:textId="77777777" w:rsidR="00F079D3" w:rsidRPr="00A447F8" w:rsidRDefault="00F079D3" w:rsidP="00F079D3">
          <w:pPr>
            <w:pStyle w:val="Fuzeile"/>
            <w:widowControl w:val="0"/>
            <w:rPr>
              <w:rFonts w:ascii="Arial" w:hAnsi="Arial" w:cs="Arial"/>
            </w:rPr>
          </w:pPr>
        </w:p>
      </w:tc>
      <w:tc>
        <w:tcPr>
          <w:tcW w:w="1214" w:type="pct"/>
        </w:tcPr>
        <w:p w14:paraId="6DBFCCC1" w14:textId="586C0824" w:rsidR="00F079D3" w:rsidRDefault="00F079D3" w:rsidP="00F079D3">
          <w:pPr>
            <w:pStyle w:val="Fuzeile"/>
            <w:widowControl w:val="0"/>
            <w:jc w:val="right"/>
            <w:rPr>
              <w:rFonts w:ascii="Arial" w:hAnsi="Arial" w:cs="Arial"/>
            </w:rPr>
          </w:pPr>
          <w:r w:rsidRPr="00783D06">
            <w:rPr>
              <w:rFonts w:ascii="Arial" w:hAnsi="Arial" w:cs="Arial"/>
            </w:rPr>
            <w:t xml:space="preserve">Seite </w:t>
          </w:r>
          <w:r w:rsidRPr="00783D06">
            <w:rPr>
              <w:rFonts w:ascii="Arial" w:hAnsi="Arial" w:cs="Arial"/>
            </w:rPr>
            <w:fldChar w:fldCharType="begin"/>
          </w:r>
          <w:r w:rsidRPr="00783D06">
            <w:rPr>
              <w:rFonts w:ascii="Arial" w:hAnsi="Arial" w:cs="Arial"/>
            </w:rPr>
            <w:instrText xml:space="preserve"> PAGE </w:instrText>
          </w:r>
          <w:r w:rsidRPr="00783D06">
            <w:rPr>
              <w:rFonts w:ascii="Arial" w:hAnsi="Arial" w:cs="Arial"/>
            </w:rPr>
            <w:fldChar w:fldCharType="separate"/>
          </w:r>
          <w:r w:rsidR="00560688">
            <w:rPr>
              <w:rFonts w:ascii="Arial" w:hAnsi="Arial" w:cs="Arial"/>
              <w:noProof/>
            </w:rPr>
            <w:t>1</w:t>
          </w:r>
          <w:r w:rsidRPr="00783D06">
            <w:rPr>
              <w:rFonts w:ascii="Arial" w:hAnsi="Arial" w:cs="Arial"/>
            </w:rPr>
            <w:fldChar w:fldCharType="end"/>
          </w:r>
          <w:r w:rsidRPr="00783D06">
            <w:rPr>
              <w:rFonts w:ascii="Arial" w:hAnsi="Arial" w:cs="Arial"/>
            </w:rPr>
            <w:t xml:space="preserve"> von </w:t>
          </w:r>
          <w:r w:rsidRPr="00783D06">
            <w:rPr>
              <w:rFonts w:ascii="Arial" w:hAnsi="Arial" w:cs="Arial"/>
            </w:rPr>
            <w:fldChar w:fldCharType="begin"/>
          </w:r>
          <w:r w:rsidRPr="00783D06">
            <w:rPr>
              <w:rFonts w:ascii="Arial" w:hAnsi="Arial" w:cs="Arial"/>
            </w:rPr>
            <w:instrText xml:space="preserve"> NUMPAGES  </w:instrText>
          </w:r>
          <w:r w:rsidRPr="00783D06">
            <w:rPr>
              <w:rFonts w:ascii="Arial" w:hAnsi="Arial" w:cs="Arial"/>
            </w:rPr>
            <w:fldChar w:fldCharType="separate"/>
          </w:r>
          <w:r w:rsidR="00560688">
            <w:rPr>
              <w:rFonts w:ascii="Arial" w:hAnsi="Arial" w:cs="Arial"/>
              <w:noProof/>
            </w:rPr>
            <w:t>11</w:t>
          </w:r>
          <w:r w:rsidRPr="00783D06">
            <w:rPr>
              <w:rFonts w:ascii="Arial" w:hAnsi="Arial" w:cs="Arial"/>
            </w:rPr>
            <w:fldChar w:fldCharType="end"/>
          </w:r>
        </w:p>
      </w:tc>
    </w:tr>
  </w:tbl>
  <w:p w14:paraId="2BA01C66" w14:textId="77777777" w:rsidR="00E727E2" w:rsidRDefault="00E727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53FE" w14:textId="77777777" w:rsidR="000A35BA" w:rsidRDefault="000A35BA" w:rsidP="00E727E2">
      <w:pPr>
        <w:spacing w:after="0" w:line="240" w:lineRule="auto"/>
      </w:pPr>
      <w:r>
        <w:separator/>
      </w:r>
    </w:p>
  </w:footnote>
  <w:footnote w:type="continuationSeparator" w:id="0">
    <w:p w14:paraId="5EC19047" w14:textId="77777777" w:rsidR="000A35BA" w:rsidRDefault="000A35BA"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1"/>
      <w:gridCol w:w="10206"/>
      <w:gridCol w:w="1985"/>
    </w:tblGrid>
    <w:tr w:rsidR="00E727E2" w14:paraId="24B194E9" w14:textId="77777777" w:rsidTr="00E940CB">
      <w:trPr>
        <w:trHeight w:hRule="exact" w:val="291"/>
      </w:trPr>
      <w:tc>
        <w:tcPr>
          <w:tcW w:w="1951" w:type="dxa"/>
          <w:vMerge w:val="restart"/>
          <w:tcBorders>
            <w:top w:val="single" w:sz="4" w:space="0" w:color="auto"/>
            <w:bottom w:val="single" w:sz="4" w:space="0" w:color="auto"/>
          </w:tcBorders>
          <w:vAlign w:val="center"/>
        </w:tcPr>
        <w:p w14:paraId="2A4D8159" w14:textId="4BF37EFE" w:rsidR="00E727E2" w:rsidRPr="00E01423" w:rsidRDefault="0026498F" w:rsidP="00E940CB">
          <w:pPr>
            <w:jc w:val="center"/>
          </w:pPr>
          <w:r>
            <w:rPr>
              <w:noProof/>
              <w:lang w:eastAsia="de-DE"/>
            </w:rPr>
            <w:drawing>
              <wp:anchor distT="0" distB="0" distL="114300" distR="114300" simplePos="0" relativeHeight="251661312" behindDoc="1" locked="0" layoutInCell="1" allowOverlap="1" wp14:anchorId="575BC265" wp14:editId="267E1A91">
                <wp:simplePos x="0" y="0"/>
                <wp:positionH relativeFrom="column">
                  <wp:posOffset>-391795</wp:posOffset>
                </wp:positionH>
                <wp:positionV relativeFrom="paragraph">
                  <wp:posOffset>-55880</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0206" w:type="dxa"/>
          <w:tcBorders>
            <w:top w:val="single" w:sz="4" w:space="0" w:color="auto"/>
          </w:tcBorders>
          <w:vAlign w:val="center"/>
        </w:tcPr>
        <w:p w14:paraId="7A67FDCF" w14:textId="77777777" w:rsidR="00E727E2" w:rsidRPr="00E727E2" w:rsidRDefault="00E727E2" w:rsidP="00E727E2">
          <w:pPr>
            <w:pStyle w:val="Vorgabetext"/>
            <w:widowControl/>
            <w:jc w:val="center"/>
            <w:rPr>
              <w:sz w:val="16"/>
              <w:szCs w:val="16"/>
            </w:rPr>
          </w:pPr>
          <w:r w:rsidRPr="00E727E2">
            <w:rPr>
              <w:rFonts w:ascii="Arial" w:hAnsi="Arial" w:cs="Arial"/>
              <w:sz w:val="16"/>
              <w:szCs w:val="16"/>
            </w:rPr>
            <w:t>GEORG-AUGUST-UNIVERSITÄT: Stabsstelle Sicherheitswesen/Umweltschutz</w:t>
          </w:r>
        </w:p>
      </w:tc>
      <w:tc>
        <w:tcPr>
          <w:tcW w:w="1985" w:type="dxa"/>
          <w:vMerge w:val="restart"/>
          <w:tcBorders>
            <w:top w:val="single" w:sz="4" w:space="0" w:color="auto"/>
            <w:bottom w:val="single" w:sz="4" w:space="0" w:color="auto"/>
          </w:tcBorders>
          <w:vAlign w:val="center"/>
        </w:tcPr>
        <w:p w14:paraId="0280DD2C" w14:textId="77777777" w:rsidR="00E727E2" w:rsidRDefault="00E727E2" w:rsidP="00E940CB">
          <w:pPr>
            <w:pStyle w:val="Vorgabetext"/>
            <w:widowControl/>
            <w:jc w:val="center"/>
          </w:pPr>
          <w:r>
            <w:rPr>
              <w:noProof/>
            </w:rPr>
            <w:drawing>
              <wp:anchor distT="0" distB="0" distL="114300" distR="114300" simplePos="0" relativeHeight="251659264" behindDoc="0" locked="0" layoutInCell="1" allowOverlap="1" wp14:anchorId="1738233B" wp14:editId="5FAC558A">
                <wp:simplePos x="0" y="0"/>
                <wp:positionH relativeFrom="column">
                  <wp:posOffset>14912</wp:posOffset>
                </wp:positionH>
                <wp:positionV relativeFrom="paragraph">
                  <wp:posOffset>117475</wp:posOffset>
                </wp:positionV>
                <wp:extent cx="962660" cy="299720"/>
                <wp:effectExtent l="0" t="0" r="8890" b="508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62660" cy="299720"/>
                        </a:xfrm>
                        <a:prstGeom prst="rect">
                          <a:avLst/>
                        </a:prstGeom>
                        <a:noFill/>
                      </pic:spPr>
                    </pic:pic>
                  </a:graphicData>
                </a:graphic>
              </wp:anchor>
            </w:drawing>
          </w:r>
        </w:p>
      </w:tc>
    </w:tr>
    <w:tr w:rsidR="00E727E2" w14:paraId="480005AE" w14:textId="77777777" w:rsidTr="00861D90">
      <w:trPr>
        <w:trHeight w:val="262"/>
      </w:trPr>
      <w:tc>
        <w:tcPr>
          <w:tcW w:w="1951" w:type="dxa"/>
          <w:vMerge/>
          <w:tcBorders>
            <w:top w:val="single" w:sz="4" w:space="0" w:color="auto"/>
            <w:bottom w:val="single" w:sz="4" w:space="0" w:color="auto"/>
          </w:tcBorders>
        </w:tcPr>
        <w:p w14:paraId="4BAA83C4" w14:textId="77777777" w:rsidR="00E727E2" w:rsidRDefault="00E727E2" w:rsidP="00524816">
          <w:pPr>
            <w:pStyle w:val="Vorgabetext"/>
          </w:pPr>
        </w:p>
      </w:tc>
      <w:tc>
        <w:tcPr>
          <w:tcW w:w="10206" w:type="dxa"/>
        </w:tcPr>
        <w:p w14:paraId="678DCDDE" w14:textId="77777777" w:rsidR="00E727E2" w:rsidRPr="00861D90" w:rsidRDefault="00E727E2" w:rsidP="00524816">
          <w:pPr>
            <w:pStyle w:val="Vorgabetext"/>
            <w:widowControl/>
            <w:jc w:val="center"/>
            <w:rPr>
              <w:rFonts w:ascii="Arial" w:hAnsi="Arial" w:cs="Arial"/>
              <w:b/>
              <w:bCs/>
              <w:sz w:val="22"/>
              <w:szCs w:val="22"/>
            </w:rPr>
          </w:pPr>
          <w:r w:rsidRPr="00861D90">
            <w:rPr>
              <w:rFonts w:ascii="Arial" w:hAnsi="Arial" w:cs="Arial"/>
              <w:b/>
              <w:bCs/>
              <w:sz w:val="22"/>
              <w:szCs w:val="22"/>
            </w:rPr>
            <w:t>Informationen für Uni</w:t>
          </w:r>
          <w:r w:rsidR="00A25EA6" w:rsidRPr="00861D90">
            <w:rPr>
              <w:rFonts w:ascii="Arial" w:hAnsi="Arial" w:cs="Arial"/>
              <w:b/>
              <w:bCs/>
              <w:sz w:val="22"/>
              <w:szCs w:val="22"/>
            </w:rPr>
            <w:t>versität</w:t>
          </w:r>
          <w:r w:rsidRPr="00861D90">
            <w:rPr>
              <w:rFonts w:ascii="Arial" w:hAnsi="Arial" w:cs="Arial"/>
              <w:b/>
              <w:bCs/>
              <w:sz w:val="22"/>
              <w:szCs w:val="22"/>
            </w:rPr>
            <w:t>/UMG</w:t>
          </w:r>
        </w:p>
      </w:tc>
      <w:tc>
        <w:tcPr>
          <w:tcW w:w="1985" w:type="dxa"/>
          <w:vMerge/>
          <w:tcBorders>
            <w:bottom w:val="single" w:sz="4" w:space="0" w:color="auto"/>
          </w:tcBorders>
        </w:tcPr>
        <w:p w14:paraId="461FAB6B" w14:textId="77777777" w:rsidR="00E727E2" w:rsidRDefault="00E727E2" w:rsidP="00524816">
          <w:pPr>
            <w:pStyle w:val="Vorgabetext"/>
            <w:widowControl/>
            <w:jc w:val="center"/>
            <w:rPr>
              <w:rFonts w:ascii="Arial" w:hAnsi="Arial" w:cs="Arial"/>
              <w:b/>
              <w:bCs/>
              <w:sz w:val="28"/>
            </w:rPr>
          </w:pPr>
        </w:p>
      </w:tc>
    </w:tr>
    <w:tr w:rsidR="00E727E2" w14:paraId="6A1284D7" w14:textId="77777777" w:rsidTr="00861D90">
      <w:trPr>
        <w:trHeight w:hRule="exact" w:val="302"/>
      </w:trPr>
      <w:tc>
        <w:tcPr>
          <w:tcW w:w="1951" w:type="dxa"/>
          <w:vMerge/>
          <w:tcBorders>
            <w:top w:val="single" w:sz="4" w:space="0" w:color="auto"/>
            <w:bottom w:val="single" w:sz="4" w:space="0" w:color="auto"/>
          </w:tcBorders>
        </w:tcPr>
        <w:p w14:paraId="43E6CDEF" w14:textId="77777777" w:rsidR="00E727E2" w:rsidRDefault="00E727E2" w:rsidP="00524816">
          <w:pPr>
            <w:pStyle w:val="Vorgabetext"/>
          </w:pPr>
        </w:p>
      </w:tc>
      <w:tc>
        <w:tcPr>
          <w:tcW w:w="10206" w:type="dxa"/>
        </w:tcPr>
        <w:p w14:paraId="08772EFB" w14:textId="77777777" w:rsidR="00E727E2" w:rsidRPr="00861D90" w:rsidRDefault="00E727E2" w:rsidP="00524816">
          <w:pPr>
            <w:pStyle w:val="Vorgabetext"/>
            <w:widowControl/>
            <w:jc w:val="center"/>
            <w:rPr>
              <w:rFonts w:ascii="Arial" w:hAnsi="Arial" w:cs="Arial"/>
              <w:b/>
              <w:bCs/>
              <w:color w:val="000000"/>
              <w:sz w:val="22"/>
              <w:szCs w:val="22"/>
            </w:rPr>
          </w:pPr>
          <w:r w:rsidRPr="00861D90">
            <w:rPr>
              <w:rFonts w:ascii="Arial" w:hAnsi="Arial" w:cs="Arial"/>
              <w:b/>
              <w:bCs/>
              <w:color w:val="000000" w:themeColor="text1"/>
              <w:sz w:val="22"/>
              <w:szCs w:val="22"/>
            </w:rPr>
            <w:t>Checkliste</w:t>
          </w:r>
        </w:p>
      </w:tc>
      <w:tc>
        <w:tcPr>
          <w:tcW w:w="1985" w:type="dxa"/>
          <w:vMerge/>
          <w:tcBorders>
            <w:bottom w:val="single" w:sz="4" w:space="0" w:color="auto"/>
          </w:tcBorders>
        </w:tcPr>
        <w:p w14:paraId="5F520EE6" w14:textId="77777777" w:rsidR="00E727E2" w:rsidRDefault="00E727E2" w:rsidP="00524816">
          <w:pPr>
            <w:pStyle w:val="Vorgabetext"/>
            <w:widowControl/>
            <w:rPr>
              <w:rFonts w:ascii="Arial" w:hAnsi="Arial" w:cs="Arial"/>
              <w:b/>
              <w:bCs/>
              <w:color w:val="000000"/>
            </w:rPr>
          </w:pPr>
        </w:p>
      </w:tc>
    </w:tr>
    <w:tr w:rsidR="00E727E2" w14:paraId="21F52DD0" w14:textId="77777777" w:rsidTr="00861D90">
      <w:trPr>
        <w:trHeight w:hRule="exact" w:val="541"/>
      </w:trPr>
      <w:tc>
        <w:tcPr>
          <w:tcW w:w="1951" w:type="dxa"/>
          <w:vMerge/>
          <w:tcBorders>
            <w:top w:val="single" w:sz="4" w:space="0" w:color="auto"/>
            <w:bottom w:val="single" w:sz="4" w:space="0" w:color="auto"/>
          </w:tcBorders>
        </w:tcPr>
        <w:p w14:paraId="637F0C89" w14:textId="77777777" w:rsidR="00E727E2" w:rsidRDefault="00E727E2" w:rsidP="00524816">
          <w:pPr>
            <w:pStyle w:val="Vorgabetext"/>
            <w:widowControl/>
            <w:rPr>
              <w:rFonts w:ascii="Arial" w:hAnsi="Arial" w:cs="Arial"/>
              <w:b/>
              <w:bCs/>
              <w:color w:val="0000FF"/>
            </w:rPr>
          </w:pPr>
        </w:p>
      </w:tc>
      <w:tc>
        <w:tcPr>
          <w:tcW w:w="10206" w:type="dxa"/>
          <w:tcBorders>
            <w:bottom w:val="single" w:sz="4" w:space="0" w:color="auto"/>
          </w:tcBorders>
        </w:tcPr>
        <w:p w14:paraId="1C10DB35" w14:textId="77777777" w:rsidR="00944402" w:rsidRPr="00861D90" w:rsidRDefault="00944402" w:rsidP="00944402">
          <w:pPr>
            <w:pStyle w:val="Vorgabetext"/>
            <w:widowControl/>
            <w:jc w:val="center"/>
            <w:rPr>
              <w:rFonts w:ascii="Arial" w:hAnsi="Arial" w:cs="Arial"/>
              <w:b/>
              <w:bCs/>
              <w:color w:val="FF0000"/>
              <w:sz w:val="22"/>
              <w:szCs w:val="22"/>
            </w:rPr>
          </w:pPr>
          <w:r w:rsidRPr="00861D90">
            <w:rPr>
              <w:rFonts w:ascii="Arial" w:hAnsi="Arial" w:cs="Arial"/>
              <w:b/>
              <w:bCs/>
              <w:color w:val="FF0000"/>
              <w:sz w:val="22"/>
              <w:szCs w:val="22"/>
            </w:rPr>
            <w:t>Biostoff S</w:t>
          </w:r>
          <w:r w:rsidR="00554C7C">
            <w:rPr>
              <w:rFonts w:ascii="Arial" w:hAnsi="Arial" w:cs="Arial"/>
              <w:b/>
              <w:bCs/>
              <w:color w:val="FF0000"/>
              <w:sz w:val="22"/>
              <w:szCs w:val="22"/>
            </w:rPr>
            <w:t>3</w:t>
          </w:r>
          <w:r w:rsidRPr="00861D90">
            <w:rPr>
              <w:rFonts w:ascii="Arial" w:hAnsi="Arial" w:cs="Arial"/>
              <w:b/>
              <w:bCs/>
              <w:color w:val="FF0000"/>
              <w:sz w:val="22"/>
              <w:szCs w:val="22"/>
            </w:rPr>
            <w:t xml:space="preserve"> Labor:</w:t>
          </w:r>
        </w:p>
        <w:p w14:paraId="4DB64842" w14:textId="77777777" w:rsidR="00944402" w:rsidRPr="00861D90" w:rsidRDefault="00E727E2" w:rsidP="00944402">
          <w:pPr>
            <w:pStyle w:val="Vorgabetext"/>
            <w:widowControl/>
            <w:jc w:val="center"/>
            <w:rPr>
              <w:rFonts w:ascii="Arial" w:hAnsi="Arial" w:cs="Arial"/>
              <w:b/>
              <w:bCs/>
              <w:color w:val="0000FF"/>
              <w:sz w:val="22"/>
              <w:szCs w:val="22"/>
            </w:rPr>
          </w:pPr>
          <w:r w:rsidRPr="00861D90">
            <w:rPr>
              <w:rFonts w:ascii="Arial" w:hAnsi="Arial" w:cs="Arial"/>
              <w:b/>
              <w:bCs/>
              <w:color w:val="0000FF"/>
              <w:sz w:val="22"/>
              <w:szCs w:val="22"/>
            </w:rPr>
            <w:t>Bauliche, technische und</w:t>
          </w:r>
          <w:r w:rsidR="00944402" w:rsidRPr="00861D90">
            <w:rPr>
              <w:rFonts w:ascii="Arial" w:hAnsi="Arial" w:cs="Arial"/>
              <w:b/>
              <w:bCs/>
              <w:color w:val="0000FF"/>
              <w:sz w:val="22"/>
              <w:szCs w:val="22"/>
            </w:rPr>
            <w:t xml:space="preserve"> organisatorische </w:t>
          </w:r>
          <w:r w:rsidR="00006DF0" w:rsidRPr="00861D90">
            <w:rPr>
              <w:rFonts w:ascii="Arial" w:hAnsi="Arial" w:cs="Arial"/>
              <w:b/>
              <w:bCs/>
              <w:color w:val="0000FF"/>
              <w:sz w:val="22"/>
              <w:szCs w:val="22"/>
            </w:rPr>
            <w:t>Schutzmaßnahmen</w:t>
          </w:r>
        </w:p>
        <w:p w14:paraId="64FEFB2B" w14:textId="77777777" w:rsidR="00E727E2" w:rsidRPr="00861D90" w:rsidRDefault="00E727E2" w:rsidP="00524816">
          <w:pPr>
            <w:pStyle w:val="Vorgabetext"/>
            <w:widowControl/>
            <w:jc w:val="center"/>
            <w:rPr>
              <w:rFonts w:ascii="Arial" w:hAnsi="Arial" w:cs="Arial"/>
              <w:b/>
              <w:bCs/>
              <w:color w:val="0000FF"/>
              <w:sz w:val="22"/>
              <w:szCs w:val="22"/>
            </w:rPr>
          </w:pPr>
        </w:p>
      </w:tc>
      <w:tc>
        <w:tcPr>
          <w:tcW w:w="1985" w:type="dxa"/>
          <w:vMerge/>
          <w:tcBorders>
            <w:bottom w:val="single" w:sz="4" w:space="0" w:color="auto"/>
          </w:tcBorders>
        </w:tcPr>
        <w:p w14:paraId="24F68FBE" w14:textId="77777777" w:rsidR="00E727E2" w:rsidRDefault="00E727E2" w:rsidP="00524816">
          <w:pPr>
            <w:pStyle w:val="Vorgabetext"/>
            <w:widowControl/>
            <w:rPr>
              <w:rFonts w:ascii="Arial" w:hAnsi="Arial" w:cs="Arial"/>
              <w:b/>
              <w:bCs/>
              <w:color w:val="0000FF"/>
            </w:rPr>
          </w:pPr>
        </w:p>
      </w:tc>
    </w:tr>
  </w:tbl>
  <w:p w14:paraId="55EB4A78" w14:textId="77777777" w:rsidR="00E727E2" w:rsidRDefault="00E727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33"/>
    <w:multiLevelType w:val="hybridMultilevel"/>
    <w:tmpl w:val="17A699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728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0141A"/>
    <w:multiLevelType w:val="hybridMultilevel"/>
    <w:tmpl w:val="A4EEE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270E39"/>
    <w:multiLevelType w:val="hybridMultilevel"/>
    <w:tmpl w:val="893068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5F4DBB"/>
    <w:multiLevelType w:val="hybridMultilevel"/>
    <w:tmpl w:val="9C608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BF36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070FD4"/>
    <w:multiLevelType w:val="hybridMultilevel"/>
    <w:tmpl w:val="B4CED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B47953"/>
    <w:multiLevelType w:val="hybridMultilevel"/>
    <w:tmpl w:val="58D08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A65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F34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B3EDD"/>
    <w:multiLevelType w:val="hybridMultilevel"/>
    <w:tmpl w:val="BA36506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1C757A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632372"/>
    <w:multiLevelType w:val="hybridMultilevel"/>
    <w:tmpl w:val="F6B2C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90429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DE60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C157C"/>
    <w:multiLevelType w:val="hybridMultilevel"/>
    <w:tmpl w:val="D238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A7515E"/>
    <w:multiLevelType w:val="hybridMultilevel"/>
    <w:tmpl w:val="817E51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9F2ABE"/>
    <w:multiLevelType w:val="hybridMultilevel"/>
    <w:tmpl w:val="0B1477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7376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5A2533"/>
    <w:multiLevelType w:val="hybridMultilevel"/>
    <w:tmpl w:val="ADBEC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9C164B3"/>
    <w:multiLevelType w:val="hybridMultilevel"/>
    <w:tmpl w:val="049416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654C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0F38AC"/>
    <w:multiLevelType w:val="hybridMultilevel"/>
    <w:tmpl w:val="139A53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56C04880"/>
    <w:multiLevelType w:val="hybridMultilevel"/>
    <w:tmpl w:val="1A00F5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82A7955"/>
    <w:multiLevelType w:val="hybridMultilevel"/>
    <w:tmpl w:val="234EB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91078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80399D"/>
    <w:multiLevelType w:val="hybridMultilevel"/>
    <w:tmpl w:val="D7EAE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AEB40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FD5FDE"/>
    <w:multiLevelType w:val="hybridMultilevel"/>
    <w:tmpl w:val="39445F92"/>
    <w:lvl w:ilvl="0" w:tplc="04070001">
      <w:start w:val="1"/>
      <w:numFmt w:val="bullet"/>
      <w:lvlText w:val=""/>
      <w:lvlJc w:val="left"/>
      <w:pPr>
        <w:ind w:left="884" w:hanging="360"/>
      </w:pPr>
      <w:rPr>
        <w:rFonts w:ascii="Symbol" w:hAnsi="Symbol" w:hint="default"/>
      </w:rPr>
    </w:lvl>
    <w:lvl w:ilvl="1" w:tplc="04070003" w:tentative="1">
      <w:start w:val="1"/>
      <w:numFmt w:val="bullet"/>
      <w:lvlText w:val="o"/>
      <w:lvlJc w:val="left"/>
      <w:pPr>
        <w:ind w:left="1604" w:hanging="360"/>
      </w:pPr>
      <w:rPr>
        <w:rFonts w:ascii="Courier New" w:hAnsi="Courier New" w:cs="Courier New" w:hint="default"/>
      </w:rPr>
    </w:lvl>
    <w:lvl w:ilvl="2" w:tplc="04070005" w:tentative="1">
      <w:start w:val="1"/>
      <w:numFmt w:val="bullet"/>
      <w:lvlText w:val=""/>
      <w:lvlJc w:val="left"/>
      <w:pPr>
        <w:ind w:left="2324" w:hanging="360"/>
      </w:pPr>
      <w:rPr>
        <w:rFonts w:ascii="Wingdings" w:hAnsi="Wingdings" w:hint="default"/>
      </w:rPr>
    </w:lvl>
    <w:lvl w:ilvl="3" w:tplc="04070001" w:tentative="1">
      <w:start w:val="1"/>
      <w:numFmt w:val="bullet"/>
      <w:lvlText w:val=""/>
      <w:lvlJc w:val="left"/>
      <w:pPr>
        <w:ind w:left="3044" w:hanging="360"/>
      </w:pPr>
      <w:rPr>
        <w:rFonts w:ascii="Symbol" w:hAnsi="Symbol" w:hint="default"/>
      </w:rPr>
    </w:lvl>
    <w:lvl w:ilvl="4" w:tplc="04070003" w:tentative="1">
      <w:start w:val="1"/>
      <w:numFmt w:val="bullet"/>
      <w:lvlText w:val="o"/>
      <w:lvlJc w:val="left"/>
      <w:pPr>
        <w:ind w:left="3764" w:hanging="360"/>
      </w:pPr>
      <w:rPr>
        <w:rFonts w:ascii="Courier New" w:hAnsi="Courier New" w:cs="Courier New" w:hint="default"/>
      </w:rPr>
    </w:lvl>
    <w:lvl w:ilvl="5" w:tplc="04070005" w:tentative="1">
      <w:start w:val="1"/>
      <w:numFmt w:val="bullet"/>
      <w:lvlText w:val=""/>
      <w:lvlJc w:val="left"/>
      <w:pPr>
        <w:ind w:left="4484" w:hanging="360"/>
      </w:pPr>
      <w:rPr>
        <w:rFonts w:ascii="Wingdings" w:hAnsi="Wingdings" w:hint="default"/>
      </w:rPr>
    </w:lvl>
    <w:lvl w:ilvl="6" w:tplc="04070001" w:tentative="1">
      <w:start w:val="1"/>
      <w:numFmt w:val="bullet"/>
      <w:lvlText w:val=""/>
      <w:lvlJc w:val="left"/>
      <w:pPr>
        <w:ind w:left="5204" w:hanging="360"/>
      </w:pPr>
      <w:rPr>
        <w:rFonts w:ascii="Symbol" w:hAnsi="Symbol" w:hint="default"/>
      </w:rPr>
    </w:lvl>
    <w:lvl w:ilvl="7" w:tplc="04070003" w:tentative="1">
      <w:start w:val="1"/>
      <w:numFmt w:val="bullet"/>
      <w:lvlText w:val="o"/>
      <w:lvlJc w:val="left"/>
      <w:pPr>
        <w:ind w:left="5924" w:hanging="360"/>
      </w:pPr>
      <w:rPr>
        <w:rFonts w:ascii="Courier New" w:hAnsi="Courier New" w:cs="Courier New" w:hint="default"/>
      </w:rPr>
    </w:lvl>
    <w:lvl w:ilvl="8" w:tplc="04070005" w:tentative="1">
      <w:start w:val="1"/>
      <w:numFmt w:val="bullet"/>
      <w:lvlText w:val=""/>
      <w:lvlJc w:val="left"/>
      <w:pPr>
        <w:ind w:left="6644" w:hanging="360"/>
      </w:pPr>
      <w:rPr>
        <w:rFonts w:ascii="Wingdings" w:hAnsi="Wingdings" w:hint="default"/>
      </w:rPr>
    </w:lvl>
  </w:abstractNum>
  <w:abstractNum w:abstractNumId="29" w15:restartNumberingAfterBreak="0">
    <w:nsid w:val="5D7230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BC3E1A"/>
    <w:multiLevelType w:val="hybridMultilevel"/>
    <w:tmpl w:val="668459FA"/>
    <w:lvl w:ilvl="0" w:tplc="512A341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F2A1CA6"/>
    <w:multiLevelType w:val="hybridMultilevel"/>
    <w:tmpl w:val="62F24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176384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D277F2"/>
    <w:multiLevelType w:val="hybridMultilevel"/>
    <w:tmpl w:val="95509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0C7D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8A53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8F45D8"/>
    <w:multiLevelType w:val="hybridMultilevel"/>
    <w:tmpl w:val="89F05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596DA7"/>
    <w:multiLevelType w:val="hybridMultilevel"/>
    <w:tmpl w:val="FE4663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4C69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165605"/>
    <w:multiLevelType w:val="hybridMultilevel"/>
    <w:tmpl w:val="B08C9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3216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5B0C4A"/>
    <w:multiLevelType w:val="hybridMultilevel"/>
    <w:tmpl w:val="2EE0A3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DD643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42"/>
  </w:num>
  <w:num w:numId="3">
    <w:abstractNumId w:val="25"/>
  </w:num>
  <w:num w:numId="4">
    <w:abstractNumId w:val="27"/>
  </w:num>
  <w:num w:numId="5">
    <w:abstractNumId w:val="6"/>
  </w:num>
  <w:num w:numId="6">
    <w:abstractNumId w:val="30"/>
  </w:num>
  <w:num w:numId="7">
    <w:abstractNumId w:val="11"/>
  </w:num>
  <w:num w:numId="8">
    <w:abstractNumId w:val="29"/>
  </w:num>
  <w:num w:numId="9">
    <w:abstractNumId w:val="35"/>
  </w:num>
  <w:num w:numId="10">
    <w:abstractNumId w:val="1"/>
  </w:num>
  <w:num w:numId="11">
    <w:abstractNumId w:val="17"/>
  </w:num>
  <w:num w:numId="12">
    <w:abstractNumId w:val="4"/>
  </w:num>
  <w:num w:numId="13">
    <w:abstractNumId w:val="0"/>
  </w:num>
  <w:num w:numId="14">
    <w:abstractNumId w:val="15"/>
  </w:num>
  <w:num w:numId="15">
    <w:abstractNumId w:val="12"/>
  </w:num>
  <w:num w:numId="16">
    <w:abstractNumId w:val="26"/>
  </w:num>
  <w:num w:numId="17">
    <w:abstractNumId w:val="20"/>
  </w:num>
  <w:num w:numId="18">
    <w:abstractNumId w:val="24"/>
  </w:num>
  <w:num w:numId="19">
    <w:abstractNumId w:val="31"/>
  </w:num>
  <w:num w:numId="20">
    <w:abstractNumId w:val="37"/>
  </w:num>
  <w:num w:numId="21">
    <w:abstractNumId w:val="36"/>
  </w:num>
  <w:num w:numId="22">
    <w:abstractNumId w:val="14"/>
  </w:num>
  <w:num w:numId="23">
    <w:abstractNumId w:val="34"/>
  </w:num>
  <w:num w:numId="24">
    <w:abstractNumId w:val="21"/>
  </w:num>
  <w:num w:numId="25">
    <w:abstractNumId w:val="40"/>
  </w:num>
  <w:num w:numId="26">
    <w:abstractNumId w:val="23"/>
  </w:num>
  <w:num w:numId="27">
    <w:abstractNumId w:val="43"/>
  </w:num>
  <w:num w:numId="28">
    <w:abstractNumId w:val="38"/>
  </w:num>
  <w:num w:numId="29">
    <w:abstractNumId w:val="3"/>
  </w:num>
  <w:num w:numId="30">
    <w:abstractNumId w:val="16"/>
  </w:num>
  <w:num w:numId="31">
    <w:abstractNumId w:val="9"/>
  </w:num>
  <w:num w:numId="32">
    <w:abstractNumId w:val="44"/>
  </w:num>
  <w:num w:numId="33">
    <w:abstractNumId w:val="7"/>
  </w:num>
  <w:num w:numId="34">
    <w:abstractNumId w:val="8"/>
  </w:num>
  <w:num w:numId="35">
    <w:abstractNumId w:val="5"/>
  </w:num>
  <w:num w:numId="36">
    <w:abstractNumId w:val="13"/>
  </w:num>
  <w:num w:numId="37">
    <w:abstractNumId w:val="18"/>
  </w:num>
  <w:num w:numId="38">
    <w:abstractNumId w:val="2"/>
  </w:num>
  <w:num w:numId="39">
    <w:abstractNumId w:val="33"/>
  </w:num>
  <w:num w:numId="40">
    <w:abstractNumId w:val="10"/>
  </w:num>
  <w:num w:numId="41">
    <w:abstractNumId w:val="32"/>
  </w:num>
  <w:num w:numId="42">
    <w:abstractNumId w:val="22"/>
  </w:num>
  <w:num w:numId="43">
    <w:abstractNumId w:val="19"/>
  </w:num>
  <w:num w:numId="44">
    <w:abstractNumId w:val="4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CB"/>
    <w:rsid w:val="00006DF0"/>
    <w:rsid w:val="00007828"/>
    <w:rsid w:val="0001769F"/>
    <w:rsid w:val="000334F3"/>
    <w:rsid w:val="000413DF"/>
    <w:rsid w:val="00043747"/>
    <w:rsid w:val="000461B4"/>
    <w:rsid w:val="00057512"/>
    <w:rsid w:val="0006278D"/>
    <w:rsid w:val="000821DC"/>
    <w:rsid w:val="0008416D"/>
    <w:rsid w:val="0008742B"/>
    <w:rsid w:val="00095D60"/>
    <w:rsid w:val="000A1425"/>
    <w:rsid w:val="000A334F"/>
    <w:rsid w:val="000A35BA"/>
    <w:rsid w:val="000B0ED6"/>
    <w:rsid w:val="000C64B7"/>
    <w:rsid w:val="000D1512"/>
    <w:rsid w:val="000F2DF3"/>
    <w:rsid w:val="001244D9"/>
    <w:rsid w:val="001723CE"/>
    <w:rsid w:val="00172E8F"/>
    <w:rsid w:val="001A5CEC"/>
    <w:rsid w:val="001B76B8"/>
    <w:rsid w:val="001C76B0"/>
    <w:rsid w:val="001D2F87"/>
    <w:rsid w:val="001D3D91"/>
    <w:rsid w:val="001E05A1"/>
    <w:rsid w:val="001E252E"/>
    <w:rsid w:val="001E3922"/>
    <w:rsid w:val="001E4245"/>
    <w:rsid w:val="001E7C5A"/>
    <w:rsid w:val="00211683"/>
    <w:rsid w:val="0022626C"/>
    <w:rsid w:val="00241387"/>
    <w:rsid w:val="0026498F"/>
    <w:rsid w:val="00280917"/>
    <w:rsid w:val="002A6385"/>
    <w:rsid w:val="002C07D4"/>
    <w:rsid w:val="002D4EBD"/>
    <w:rsid w:val="002F35F7"/>
    <w:rsid w:val="00311ACB"/>
    <w:rsid w:val="00315FBF"/>
    <w:rsid w:val="0035234A"/>
    <w:rsid w:val="0035468D"/>
    <w:rsid w:val="0036273B"/>
    <w:rsid w:val="00363040"/>
    <w:rsid w:val="00386284"/>
    <w:rsid w:val="003E1EEE"/>
    <w:rsid w:val="003E66F0"/>
    <w:rsid w:val="003E6960"/>
    <w:rsid w:val="003F05EF"/>
    <w:rsid w:val="003F30E4"/>
    <w:rsid w:val="003F5873"/>
    <w:rsid w:val="00415034"/>
    <w:rsid w:val="004212D4"/>
    <w:rsid w:val="00430A4C"/>
    <w:rsid w:val="00431EFA"/>
    <w:rsid w:val="004331BB"/>
    <w:rsid w:val="00455AB9"/>
    <w:rsid w:val="00482EB9"/>
    <w:rsid w:val="004877F6"/>
    <w:rsid w:val="004A051B"/>
    <w:rsid w:val="004B6205"/>
    <w:rsid w:val="004C49D2"/>
    <w:rsid w:val="004C7A34"/>
    <w:rsid w:val="004D3822"/>
    <w:rsid w:val="004F29CE"/>
    <w:rsid w:val="00501A59"/>
    <w:rsid w:val="00511869"/>
    <w:rsid w:val="0053261D"/>
    <w:rsid w:val="0053469D"/>
    <w:rsid w:val="00542E88"/>
    <w:rsid w:val="00554C7C"/>
    <w:rsid w:val="00560688"/>
    <w:rsid w:val="00560F7D"/>
    <w:rsid w:val="00562161"/>
    <w:rsid w:val="0057123C"/>
    <w:rsid w:val="0058195F"/>
    <w:rsid w:val="005857EA"/>
    <w:rsid w:val="00594802"/>
    <w:rsid w:val="005C74A8"/>
    <w:rsid w:val="005C7EF9"/>
    <w:rsid w:val="005F294C"/>
    <w:rsid w:val="005F7292"/>
    <w:rsid w:val="006137B7"/>
    <w:rsid w:val="006262C4"/>
    <w:rsid w:val="00632FCA"/>
    <w:rsid w:val="00650E86"/>
    <w:rsid w:val="006B07E0"/>
    <w:rsid w:val="006C2A14"/>
    <w:rsid w:val="006E3AAA"/>
    <w:rsid w:val="006E6120"/>
    <w:rsid w:val="006E6E76"/>
    <w:rsid w:val="00710195"/>
    <w:rsid w:val="007158F7"/>
    <w:rsid w:val="00715C7F"/>
    <w:rsid w:val="00722314"/>
    <w:rsid w:val="007320F8"/>
    <w:rsid w:val="00747FE9"/>
    <w:rsid w:val="00755E23"/>
    <w:rsid w:val="00763E7A"/>
    <w:rsid w:val="0078364F"/>
    <w:rsid w:val="007B24C9"/>
    <w:rsid w:val="007B3511"/>
    <w:rsid w:val="007B55F8"/>
    <w:rsid w:val="007D24D6"/>
    <w:rsid w:val="007D4E0E"/>
    <w:rsid w:val="00804259"/>
    <w:rsid w:val="0080649C"/>
    <w:rsid w:val="00811705"/>
    <w:rsid w:val="0081524A"/>
    <w:rsid w:val="00831D8D"/>
    <w:rsid w:val="008346AA"/>
    <w:rsid w:val="00852095"/>
    <w:rsid w:val="00856336"/>
    <w:rsid w:val="00861D90"/>
    <w:rsid w:val="008664CE"/>
    <w:rsid w:val="0087233F"/>
    <w:rsid w:val="0088614C"/>
    <w:rsid w:val="00887EC1"/>
    <w:rsid w:val="008A4C40"/>
    <w:rsid w:val="008A5478"/>
    <w:rsid w:val="008A7435"/>
    <w:rsid w:val="008E4675"/>
    <w:rsid w:val="008F05E6"/>
    <w:rsid w:val="008F35E2"/>
    <w:rsid w:val="008F422E"/>
    <w:rsid w:val="00916EA4"/>
    <w:rsid w:val="00934976"/>
    <w:rsid w:val="00942E5A"/>
    <w:rsid w:val="00944402"/>
    <w:rsid w:val="00970F1D"/>
    <w:rsid w:val="00990E7B"/>
    <w:rsid w:val="009A2C2D"/>
    <w:rsid w:val="009D666A"/>
    <w:rsid w:val="009F39E0"/>
    <w:rsid w:val="00A15C2F"/>
    <w:rsid w:val="00A25EA6"/>
    <w:rsid w:val="00A549E0"/>
    <w:rsid w:val="00A86D1B"/>
    <w:rsid w:val="00AB3386"/>
    <w:rsid w:val="00AB797F"/>
    <w:rsid w:val="00AC096C"/>
    <w:rsid w:val="00AD092A"/>
    <w:rsid w:val="00AF4C0B"/>
    <w:rsid w:val="00B33272"/>
    <w:rsid w:val="00B363B8"/>
    <w:rsid w:val="00B41C2C"/>
    <w:rsid w:val="00B55155"/>
    <w:rsid w:val="00B64AB0"/>
    <w:rsid w:val="00B8678B"/>
    <w:rsid w:val="00BB006A"/>
    <w:rsid w:val="00BB6EDA"/>
    <w:rsid w:val="00BC154F"/>
    <w:rsid w:val="00BC3BB9"/>
    <w:rsid w:val="00BE0ACE"/>
    <w:rsid w:val="00BF3E44"/>
    <w:rsid w:val="00BF6F24"/>
    <w:rsid w:val="00C016C3"/>
    <w:rsid w:val="00C20CF2"/>
    <w:rsid w:val="00C35FA4"/>
    <w:rsid w:val="00C571B5"/>
    <w:rsid w:val="00C57F85"/>
    <w:rsid w:val="00C64AE0"/>
    <w:rsid w:val="00C92709"/>
    <w:rsid w:val="00C9445D"/>
    <w:rsid w:val="00CB1CD7"/>
    <w:rsid w:val="00CB4AF0"/>
    <w:rsid w:val="00CB7282"/>
    <w:rsid w:val="00CC3E38"/>
    <w:rsid w:val="00CD2123"/>
    <w:rsid w:val="00CE2C94"/>
    <w:rsid w:val="00CF2BC1"/>
    <w:rsid w:val="00CF6D06"/>
    <w:rsid w:val="00D133DC"/>
    <w:rsid w:val="00D15EC6"/>
    <w:rsid w:val="00D202AD"/>
    <w:rsid w:val="00D45A82"/>
    <w:rsid w:val="00D73A5C"/>
    <w:rsid w:val="00DA6E37"/>
    <w:rsid w:val="00DC1759"/>
    <w:rsid w:val="00DC3746"/>
    <w:rsid w:val="00E02E8D"/>
    <w:rsid w:val="00E04DD6"/>
    <w:rsid w:val="00E26750"/>
    <w:rsid w:val="00E26A19"/>
    <w:rsid w:val="00E32A9D"/>
    <w:rsid w:val="00E358C1"/>
    <w:rsid w:val="00E637DE"/>
    <w:rsid w:val="00E645DA"/>
    <w:rsid w:val="00E727E2"/>
    <w:rsid w:val="00E80AF1"/>
    <w:rsid w:val="00E8494A"/>
    <w:rsid w:val="00E940CB"/>
    <w:rsid w:val="00E95E7F"/>
    <w:rsid w:val="00EB7620"/>
    <w:rsid w:val="00EC2D68"/>
    <w:rsid w:val="00ED2498"/>
    <w:rsid w:val="00F01537"/>
    <w:rsid w:val="00F079D3"/>
    <w:rsid w:val="00F13B67"/>
    <w:rsid w:val="00F168C7"/>
    <w:rsid w:val="00F2779A"/>
    <w:rsid w:val="00F528B5"/>
    <w:rsid w:val="00F56FF6"/>
    <w:rsid w:val="00F61AE2"/>
    <w:rsid w:val="00F65C6C"/>
    <w:rsid w:val="00F665EA"/>
    <w:rsid w:val="00F71F23"/>
    <w:rsid w:val="00F84C73"/>
    <w:rsid w:val="00F84F25"/>
    <w:rsid w:val="00FA51D1"/>
    <w:rsid w:val="00FB46C2"/>
    <w:rsid w:val="00FD43A9"/>
    <w:rsid w:val="00FD5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4B12B"/>
  <w15:docId w15:val="{71D75E85-CD30-408E-9E41-E17D8533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iPriority w:val="99"/>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 w:type="paragraph" w:customStyle="1" w:styleId="Default">
    <w:name w:val="Default"/>
    <w:rsid w:val="00942E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28D01-B22B-4D5F-A7B0-7E086DDC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2590</Words>
  <Characters>16319</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4</cp:revision>
  <cp:lastPrinted>2019-05-27T06:46:00Z</cp:lastPrinted>
  <dcterms:created xsi:type="dcterms:W3CDTF">2023-06-07T07:16:00Z</dcterms:created>
  <dcterms:modified xsi:type="dcterms:W3CDTF">2023-06-07T07:47:00Z</dcterms:modified>
</cp:coreProperties>
</file>